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97" w:rsidRDefault="000E3017" w:rsidP="00E21790">
      <w:pPr>
        <w:spacing w:line="340" w:lineRule="exact"/>
        <w:jc w:val="center"/>
        <w:rPr>
          <w:b/>
          <w:bCs/>
          <w:sz w:val="28"/>
          <w:szCs w:val="28"/>
        </w:rPr>
      </w:pPr>
      <w:r w:rsidRPr="00E21790">
        <w:rPr>
          <w:b/>
          <w:bCs/>
          <w:sz w:val="28"/>
          <w:szCs w:val="28"/>
        </w:rPr>
        <w:t>HIDUP BERDAMPINGAN DENGAN PELAKU LGBT</w:t>
      </w:r>
      <w:r w:rsidR="00E21790" w:rsidRPr="00E21790">
        <w:rPr>
          <w:b/>
          <w:bCs/>
          <w:sz w:val="28"/>
          <w:szCs w:val="28"/>
        </w:rPr>
        <w:t xml:space="preserve"> </w:t>
      </w:r>
    </w:p>
    <w:p w:rsidR="004A1BBE" w:rsidRPr="00E21790" w:rsidRDefault="00E21790" w:rsidP="00E21790">
      <w:pPr>
        <w:spacing w:line="340" w:lineRule="exact"/>
        <w:jc w:val="center"/>
        <w:rPr>
          <w:b/>
          <w:bCs/>
          <w:sz w:val="28"/>
          <w:szCs w:val="28"/>
        </w:rPr>
      </w:pPr>
      <w:r w:rsidRPr="00E21790">
        <w:rPr>
          <w:b/>
          <w:bCs/>
          <w:sz w:val="28"/>
          <w:szCs w:val="28"/>
        </w:rPr>
        <w:t>DI INDONESIA</w:t>
      </w:r>
      <w:r w:rsidR="000E3017" w:rsidRPr="00E21790">
        <w:rPr>
          <w:b/>
          <w:bCs/>
          <w:sz w:val="28"/>
          <w:szCs w:val="28"/>
        </w:rPr>
        <w:t xml:space="preserve">  </w:t>
      </w:r>
    </w:p>
    <w:p w:rsidR="005E5491" w:rsidRDefault="005E5491" w:rsidP="00423118">
      <w:pPr>
        <w:jc w:val="center"/>
        <w:rPr>
          <w:b/>
          <w:bCs/>
          <w:sz w:val="32"/>
          <w:szCs w:val="30"/>
        </w:rPr>
      </w:pPr>
    </w:p>
    <w:p w:rsidR="005E5491" w:rsidRDefault="005E5491" w:rsidP="004F50BC">
      <w:pPr>
        <w:spacing w:line="300" w:lineRule="exact"/>
        <w:jc w:val="center"/>
      </w:pPr>
      <w:proofErr w:type="gramStart"/>
      <w:r w:rsidRPr="005E5491">
        <w:t xml:space="preserve">Oleh </w:t>
      </w:r>
      <w:r>
        <w:t xml:space="preserve"> :</w:t>
      </w:r>
      <w:proofErr w:type="gramEnd"/>
      <w:r>
        <w:t xml:space="preserve"> Subehan Khalik</w:t>
      </w:r>
    </w:p>
    <w:p w:rsidR="000E3017" w:rsidRDefault="000E3017" w:rsidP="004F50BC">
      <w:pPr>
        <w:spacing w:line="300" w:lineRule="exact"/>
        <w:jc w:val="center"/>
      </w:pPr>
      <w:proofErr w:type="gramStart"/>
      <w:r>
        <w:t>email</w:t>
      </w:r>
      <w:proofErr w:type="gramEnd"/>
      <w:r>
        <w:t xml:space="preserve">: </w:t>
      </w:r>
      <w:hyperlink r:id="rId9" w:history="1">
        <w:r w:rsidR="001523F0" w:rsidRPr="00576A70">
          <w:rPr>
            <w:rStyle w:val="Hyperlink"/>
          </w:rPr>
          <w:t>subehan.khalik@uin-alauddin.ac.id</w:t>
        </w:r>
      </w:hyperlink>
    </w:p>
    <w:p w:rsidR="001523F0" w:rsidRDefault="001523F0" w:rsidP="00423118">
      <w:pPr>
        <w:jc w:val="center"/>
      </w:pPr>
    </w:p>
    <w:p w:rsidR="00E21790" w:rsidRDefault="00E21790" w:rsidP="00E21790">
      <w:r>
        <w:t>Abstract</w:t>
      </w:r>
    </w:p>
    <w:p w:rsidR="00E21790" w:rsidRDefault="00E21790" w:rsidP="00E21790">
      <w:pPr>
        <w:spacing w:line="300" w:lineRule="exact"/>
        <w:ind w:firstLine="720"/>
      </w:pPr>
      <w:r>
        <w:t>I</w:t>
      </w:r>
      <w:r w:rsidRPr="00E21790">
        <w:t>ndonesia as the country with the most Muslim population in the world faced the challenge of placing LGBT actors in the state-citizen structure. The teachings of Islam expressly reject the LGBT Act, while the State is obliged to present in advocating the rights of LGBT actors for the reasons for enforcing human rights. In the meantime, LGBT actors still have no proper treatment and are vulnerable to discrimination, so the LGBT community seems to have no right to return to repentance. Islam as a religion that has the value of humanity, on the one hand, opened a wide path for the perpetrator to return to the way of God and the other side affirmed that LGBT behavior is the thing forbidden.</w:t>
      </w:r>
    </w:p>
    <w:p w:rsidR="00E21790" w:rsidRDefault="00E21790" w:rsidP="00E21790">
      <w:pPr>
        <w:spacing w:line="300" w:lineRule="exact"/>
      </w:pPr>
    </w:p>
    <w:p w:rsidR="00E21790" w:rsidRDefault="00E21790" w:rsidP="00E21790">
      <w:pPr>
        <w:spacing w:line="300" w:lineRule="exact"/>
      </w:pPr>
      <w:r>
        <w:t>Keywords</w:t>
      </w:r>
    </w:p>
    <w:p w:rsidR="00E21790" w:rsidRDefault="00E21790" w:rsidP="00E21790">
      <w:pPr>
        <w:spacing w:line="300" w:lineRule="exact"/>
      </w:pPr>
      <w:r>
        <w:t xml:space="preserve">LGBT actors; Advocacy; Human rights; Repentance; </w:t>
      </w:r>
      <w:r w:rsidRPr="00E21790">
        <w:t>Discrimination</w:t>
      </w:r>
    </w:p>
    <w:p w:rsidR="00E21790" w:rsidRDefault="00E21790" w:rsidP="00423118">
      <w:pPr>
        <w:jc w:val="center"/>
      </w:pPr>
    </w:p>
    <w:p w:rsidR="001523F0" w:rsidRPr="00B94297" w:rsidRDefault="001523F0" w:rsidP="00E21790">
      <w:pPr>
        <w:rPr>
          <w:rFonts w:asciiTheme="majorBidi" w:hAnsiTheme="majorBidi" w:cstheme="majorBidi"/>
        </w:rPr>
      </w:pPr>
      <w:r w:rsidRPr="00B94297">
        <w:rPr>
          <w:rFonts w:asciiTheme="majorBidi" w:hAnsiTheme="majorBidi" w:cstheme="majorBidi"/>
        </w:rPr>
        <w:t>Abstrak</w:t>
      </w:r>
    </w:p>
    <w:p w:rsidR="001523F0" w:rsidRPr="00B94297" w:rsidRDefault="001523F0" w:rsidP="009D1470">
      <w:pPr>
        <w:spacing w:line="300" w:lineRule="exact"/>
        <w:ind w:firstLine="720"/>
        <w:rPr>
          <w:rFonts w:asciiTheme="majorBidi" w:hAnsiTheme="majorBidi" w:cstheme="majorBidi"/>
        </w:rPr>
      </w:pPr>
      <w:r w:rsidRPr="00B94297">
        <w:rPr>
          <w:rFonts w:asciiTheme="majorBidi" w:hAnsiTheme="majorBidi" w:cstheme="majorBidi"/>
        </w:rPr>
        <w:t xml:space="preserve">Indonesia sebagai Negara dengan penduduk muslim terbanyak di dunia, </w:t>
      </w:r>
      <w:proofErr w:type="gramStart"/>
      <w:r w:rsidRPr="00B94297">
        <w:rPr>
          <w:rFonts w:asciiTheme="majorBidi" w:hAnsiTheme="majorBidi" w:cstheme="majorBidi"/>
        </w:rPr>
        <w:t>menghadapi  tantangan</w:t>
      </w:r>
      <w:proofErr w:type="gramEnd"/>
      <w:r w:rsidRPr="00B94297">
        <w:rPr>
          <w:rFonts w:asciiTheme="majorBidi" w:hAnsiTheme="majorBidi" w:cstheme="majorBidi"/>
        </w:rPr>
        <w:t xml:space="preserve"> dalam menempatkan pelaku LGBT dalam struktur warga Negara. </w:t>
      </w:r>
      <w:proofErr w:type="gramStart"/>
      <w:r w:rsidRPr="00B94297">
        <w:rPr>
          <w:rFonts w:asciiTheme="majorBidi" w:hAnsiTheme="majorBidi" w:cstheme="majorBidi"/>
        </w:rPr>
        <w:t>Ajaran Islam secara tegas menolak perbuatan LGBT, sementara Negara diwajibkan untuk hadir dalam mengadvokasi hak-hak pelaku LGBT untuk alasan penegakan hak azasi manusia.</w:t>
      </w:r>
      <w:proofErr w:type="gramEnd"/>
      <w:r w:rsidRPr="00B94297">
        <w:rPr>
          <w:rFonts w:asciiTheme="majorBidi" w:hAnsiTheme="majorBidi" w:cstheme="majorBidi"/>
        </w:rPr>
        <w:t xml:space="preserve"> Sementara itu, </w:t>
      </w:r>
      <w:bookmarkStart w:id="0" w:name="_GoBack"/>
      <w:bookmarkEnd w:id="0"/>
      <w:r w:rsidRPr="00B94297">
        <w:rPr>
          <w:rFonts w:asciiTheme="majorBidi" w:hAnsiTheme="majorBidi" w:cstheme="majorBidi"/>
        </w:rPr>
        <w:t xml:space="preserve">pelaku LGBT masih belum mendapat </w:t>
      </w:r>
      <w:proofErr w:type="gramStart"/>
      <w:r w:rsidRPr="00B94297">
        <w:rPr>
          <w:rFonts w:asciiTheme="majorBidi" w:hAnsiTheme="majorBidi" w:cstheme="majorBidi"/>
        </w:rPr>
        <w:t>kan</w:t>
      </w:r>
      <w:proofErr w:type="gramEnd"/>
      <w:r w:rsidRPr="00B94297">
        <w:rPr>
          <w:rFonts w:asciiTheme="majorBidi" w:hAnsiTheme="majorBidi" w:cstheme="majorBidi"/>
        </w:rPr>
        <w:t xml:space="preserve"> perlakuan yang layak dan rentan didiskriminasi, sehingga komunitas LGBT seolah tak mendapat hak untuk kembali ke pertobatan. Islam sebagai agama yang memiliki nilai kemanusiaan, pada satu sisi membuka jalan yang luas bagi pelaku kesalahan untuk kembali ke jalan Tuhan dan </w:t>
      </w:r>
      <w:r w:rsidR="009D1470" w:rsidRPr="00B94297">
        <w:rPr>
          <w:rFonts w:asciiTheme="majorBidi" w:hAnsiTheme="majorBidi" w:cstheme="majorBidi"/>
        </w:rPr>
        <w:t xml:space="preserve">sisi </w:t>
      </w:r>
      <w:proofErr w:type="gramStart"/>
      <w:r w:rsidR="009D1470" w:rsidRPr="00B94297">
        <w:rPr>
          <w:rFonts w:asciiTheme="majorBidi" w:hAnsiTheme="majorBidi" w:cstheme="majorBidi"/>
        </w:rPr>
        <w:t>lain</w:t>
      </w:r>
      <w:proofErr w:type="gramEnd"/>
      <w:r w:rsidR="009D1470" w:rsidRPr="00B94297">
        <w:rPr>
          <w:rFonts w:asciiTheme="majorBidi" w:hAnsiTheme="majorBidi" w:cstheme="majorBidi"/>
        </w:rPr>
        <w:t xml:space="preserve"> memberi penegasan bahwa perilaku LGBT merupakan hal yang diharamkan.</w:t>
      </w:r>
    </w:p>
    <w:p w:rsidR="009D1470" w:rsidRDefault="009D1470" w:rsidP="009D1470">
      <w:pPr>
        <w:spacing w:line="300" w:lineRule="exact"/>
        <w:ind w:firstLine="720"/>
      </w:pPr>
    </w:p>
    <w:p w:rsidR="00E21790" w:rsidRDefault="009D1470" w:rsidP="009D1470">
      <w:pPr>
        <w:spacing w:line="300" w:lineRule="exact"/>
      </w:pPr>
      <w:r>
        <w:t>Kata Kunci</w:t>
      </w:r>
    </w:p>
    <w:p w:rsidR="009D1470" w:rsidRDefault="00E21790" w:rsidP="009D1470">
      <w:pPr>
        <w:spacing w:line="300" w:lineRule="exact"/>
      </w:pPr>
      <w:r>
        <w:t>P</w:t>
      </w:r>
      <w:r w:rsidR="009D1470">
        <w:t>elaku LGBT; Advokasi; Hak Azasi</w:t>
      </w:r>
      <w:r>
        <w:t xml:space="preserve"> Manusia</w:t>
      </w:r>
      <w:r w:rsidR="009D1470">
        <w:t>; Pertobatan</w:t>
      </w:r>
      <w:r w:rsidR="004F50BC">
        <w:t>; Diskriminasi</w:t>
      </w:r>
    </w:p>
    <w:p w:rsidR="00E21790" w:rsidRDefault="00E21790" w:rsidP="009D1470">
      <w:pPr>
        <w:spacing w:line="300" w:lineRule="exact"/>
      </w:pPr>
    </w:p>
    <w:p w:rsidR="00E21790" w:rsidRDefault="00E21790" w:rsidP="009D1470">
      <w:pPr>
        <w:spacing w:line="300" w:lineRule="exact"/>
      </w:pPr>
    </w:p>
    <w:p w:rsidR="005E5491" w:rsidRDefault="005E5491" w:rsidP="00423118">
      <w:pPr>
        <w:jc w:val="center"/>
      </w:pPr>
    </w:p>
    <w:p w:rsidR="002373AD" w:rsidRPr="000E3017" w:rsidRDefault="000E3017" w:rsidP="000E3017">
      <w:pPr>
        <w:rPr>
          <w:b/>
          <w:bCs/>
        </w:rPr>
      </w:pPr>
      <w:r>
        <w:rPr>
          <w:b/>
          <w:bCs/>
          <w:i/>
          <w:iCs/>
        </w:rPr>
        <w:lastRenderedPageBreak/>
        <w:t>Pendahuluan</w:t>
      </w:r>
    </w:p>
    <w:p w:rsidR="00DE0C27" w:rsidRPr="002373AD" w:rsidRDefault="00DE0C27" w:rsidP="000D4BE2">
      <w:pPr>
        <w:pStyle w:val="NoSpacing"/>
      </w:pPr>
      <w:proofErr w:type="gramStart"/>
      <w:r>
        <w:t>Liputan 6.com pada tanggal 26 Mei 2017 menurunkan reportase tentang empat kasus LGBT yang menjadi sorotan dunia.</w:t>
      </w:r>
      <w:proofErr w:type="gramEnd"/>
      <w:r>
        <w:rPr>
          <w:rStyle w:val="FootnoteReference"/>
        </w:rPr>
        <w:footnoteReference w:id="1"/>
      </w:r>
      <w:r>
        <w:t xml:space="preserve"> Kasus tersebut adalah; Pesta gay di Kelapa Gading yang tertangkap pada tanggal 25 Mei 2017;  Hukuman Cambuk Pasangan Gay Aceh yang dilaksanakan pada 23 Mei 2017; Pernikahan Gay di Bali pada September 2015 dan Pesta Gay Surabaya di Kamar Hotel Oval Surabaya pada tanggal 30 April 2017. </w:t>
      </w:r>
      <w:proofErr w:type="gramStart"/>
      <w:r w:rsidR="00ED1DC8">
        <w:t>Fakta ini mengungkap jika posisi Indonesia dalam hal LGBT sangat khas di mata dunia karena peristiwa besar ini dapat berlansung tanpa disadari oleh masyarakat dan mengemuka ketika pihak berwajib menurunkan laporan pe</w:t>
      </w:r>
      <w:r w:rsidR="000E3017">
        <w:t>nangkapan mereka</w:t>
      </w:r>
      <w:r w:rsidR="00ED1DC8">
        <w:t>.</w:t>
      </w:r>
      <w:proofErr w:type="gramEnd"/>
      <w:r w:rsidR="00ED1DC8">
        <w:t xml:space="preserve"> </w:t>
      </w:r>
    </w:p>
    <w:p w:rsidR="000E3017" w:rsidRDefault="0027728B" w:rsidP="000E3017">
      <w:pPr>
        <w:pStyle w:val="NoSpacing"/>
      </w:pPr>
      <w:r>
        <w:t>Lesbi</w:t>
      </w:r>
      <w:r w:rsidR="000E3017">
        <w:t>an</w:t>
      </w:r>
      <w:r w:rsidR="00830887">
        <w:t>, Gay, Bisexual, Transgender (selanjutnya disebut LGBT)</w:t>
      </w:r>
      <w:r>
        <w:t xml:space="preserve"> adalah sebuah fenomena sosial yang bersentuhan lansung dengan agama. Perbuatan ini dalam pandangan agama merupakan sebuah aib dan dipandang dosa besar sebagaimana </w:t>
      </w:r>
      <w:proofErr w:type="gramStart"/>
      <w:r>
        <w:t>apa</w:t>
      </w:r>
      <w:proofErr w:type="gramEnd"/>
      <w:r>
        <w:t xml:space="preserve"> yang telah diperbuat oleh kaum Nabi Luth.</w:t>
      </w:r>
      <w:r>
        <w:rPr>
          <w:rStyle w:val="FootnoteReference"/>
        </w:rPr>
        <w:footnoteReference w:id="2"/>
      </w:r>
      <w:r>
        <w:t xml:space="preserve"> </w:t>
      </w:r>
      <w:proofErr w:type="gramStart"/>
      <w:r>
        <w:t xml:space="preserve">Namun pada permukaan tampak </w:t>
      </w:r>
      <w:r w:rsidR="00683154">
        <w:t>secara kasat</w:t>
      </w:r>
      <w:r>
        <w:t xml:space="preserve">mata </w:t>
      </w:r>
      <w:r w:rsidR="00683154">
        <w:t xml:space="preserve">di </w:t>
      </w:r>
      <w:r>
        <w:t xml:space="preserve">beberapa kalangan telah menyatakan diri mereka sebagai pelaku perbuatan ini dan tanpa merasa sungkan ke </w:t>
      </w:r>
      <w:r w:rsidR="000E3017">
        <w:t>publik perihal perbuatan mereka.</w:t>
      </w:r>
      <w:proofErr w:type="gramEnd"/>
      <w:r w:rsidR="000E3017">
        <w:t xml:space="preserve"> Bahkan disinyalir perilaku ini bertumbuh sejak tahun 1970 dan menjadi sebuah fenomena baru di taun 2001 tatkala Belanda mengesahkan perkawinan sesama jenis sebagai sesuatu yang legal.</w:t>
      </w:r>
      <w:r w:rsidR="00683154">
        <w:rPr>
          <w:rStyle w:val="FootnoteReference"/>
        </w:rPr>
        <w:footnoteReference w:id="3"/>
      </w:r>
      <w:r>
        <w:t xml:space="preserve"> </w:t>
      </w:r>
    </w:p>
    <w:p w:rsidR="00BD6AB4" w:rsidRDefault="000E3017" w:rsidP="00A056FC">
      <w:pPr>
        <w:pStyle w:val="NoSpacing"/>
      </w:pPr>
      <w:proofErr w:type="gramStart"/>
      <w:r>
        <w:lastRenderedPageBreak/>
        <w:t>Sebuah penelitian di Amerika Serikat menemukan bahwa perilaku LGBT rentan membawa pengaruh psikologis kepada pelakunya untuk cenderung melakukan aksi bunuh-diri.</w:t>
      </w:r>
      <w:proofErr w:type="gramEnd"/>
      <w:r>
        <w:t xml:space="preserve"> </w:t>
      </w:r>
      <w:proofErr w:type="gramStart"/>
      <w:r>
        <w:t>Namun, laporan ini kemudian memberi penegasan bahwa faktor pencetus upaya bunuh-diri oleh pelaku LGBT karena tindakan diskriminasi oleh populasi di sekitar mereka.</w:t>
      </w:r>
      <w:proofErr w:type="gramEnd"/>
      <w:r w:rsidRPr="000E3017">
        <w:rPr>
          <w:rStyle w:val="FootnoteReference"/>
        </w:rPr>
        <w:t xml:space="preserve"> </w:t>
      </w:r>
      <w:r w:rsidR="00A056FC">
        <w:rPr>
          <w:rStyle w:val="FootnoteReference"/>
        </w:rPr>
        <w:footnoteReference w:id="4"/>
      </w:r>
      <w:r>
        <w:t xml:space="preserve"> Pada bagian lain, ditemukan pula bahwa pelaku LGBT dengan anak peliharaan, rentan menghadapi masalah dalam membesarkan anak mereka dibanding keluarga pasangan </w:t>
      </w:r>
      <w:proofErr w:type="gramStart"/>
      <w:r>
        <w:t>beda</w:t>
      </w:r>
      <w:proofErr w:type="gramEnd"/>
      <w:r>
        <w:t xml:space="preserve"> jenis. Tahun 2005 hanya satu Negara bagian di Amerika yang melegalkan hubungan pasangan sejenis dan tahun 2015 atau sepuluh tahun sesudahnya, kondisi telah berbalik arah dengan adanya hukum yang melegalkan hubungan pasangan sejenis di semu Negara bagian Amerika Serikat.</w:t>
      </w:r>
      <w:r w:rsidR="00A056FC">
        <w:rPr>
          <w:rStyle w:val="FootnoteReference"/>
        </w:rPr>
        <w:footnoteReference w:id="5"/>
      </w:r>
    </w:p>
    <w:p w:rsidR="000E3017" w:rsidRDefault="00BD6AB4" w:rsidP="000E3017">
      <w:pPr>
        <w:pStyle w:val="NoSpacing"/>
      </w:pPr>
      <w:proofErr w:type="gramStart"/>
      <w:r>
        <w:t>Beda halnya dengan Indonesia, eksistensi LGBT menempati posisi abu-abu sebab perangkat hukum masih belum memberi kejelasan status kepada pelaku.</w:t>
      </w:r>
      <w:proofErr w:type="gramEnd"/>
      <w:r>
        <w:t xml:space="preserve">  </w:t>
      </w:r>
      <w:proofErr w:type="gramStart"/>
      <w:r>
        <w:t xml:space="preserve">Supardji Ahmad </w:t>
      </w:r>
      <w:r w:rsidRPr="00BD6AB4">
        <w:rPr>
          <w:color w:val="333333"/>
          <w:spacing w:val="2"/>
        </w:rPr>
        <w:t>menyatakan ada kekosongan hukum di Indonesia ihwal regulasi bagi kaum lesbian, gay, biseksual, dan transgender.</w:t>
      </w:r>
      <w:proofErr w:type="gramEnd"/>
      <w:r w:rsidRPr="00BD6AB4">
        <w:rPr>
          <w:color w:val="333333"/>
          <w:spacing w:val="2"/>
        </w:rPr>
        <w:t xml:space="preserve"> </w:t>
      </w:r>
      <w:proofErr w:type="gramStart"/>
      <w:r w:rsidRPr="00BD6AB4">
        <w:rPr>
          <w:color w:val="333333"/>
          <w:spacing w:val="2"/>
        </w:rPr>
        <w:t>Kekosongan hukum itu mengesankan aktivitas LGBT bukan perbuatan yang legal.</w:t>
      </w:r>
      <w:proofErr w:type="gramEnd"/>
      <w:r>
        <w:rPr>
          <w:rStyle w:val="FootnoteReference"/>
          <w:color w:val="333333"/>
          <w:spacing w:val="2"/>
        </w:rPr>
        <w:footnoteReference w:id="6"/>
      </w:r>
      <w:r w:rsidR="000E3017">
        <w:t xml:space="preserve"> </w:t>
      </w:r>
      <w:r w:rsidR="00DA685F">
        <w:t xml:space="preserve">Pernyataan ini mengomentari putusan Mahkamah Konstitusi (MK) terhadap gugatan </w:t>
      </w:r>
      <w:r w:rsidR="00DA685F">
        <w:rPr>
          <w:i/>
          <w:iCs/>
        </w:rPr>
        <w:t xml:space="preserve">judicial review </w:t>
      </w:r>
      <w:r w:rsidR="000E3017">
        <w:t xml:space="preserve">yang dikemukakan oleh </w:t>
      </w:r>
      <w:proofErr w:type="gramStart"/>
      <w:r w:rsidR="000E3017">
        <w:t xml:space="preserve">Guru </w:t>
      </w:r>
      <w:r w:rsidR="00DA685F">
        <w:t xml:space="preserve"> </w:t>
      </w:r>
      <w:r w:rsidR="000E3017">
        <w:t>B</w:t>
      </w:r>
      <w:r w:rsidR="00DA685F">
        <w:t>esar</w:t>
      </w:r>
      <w:proofErr w:type="gramEnd"/>
      <w:r w:rsidR="00DA685F">
        <w:t xml:space="preserve"> IPB Euis Sunarti terhadap pasal  284, 285 dan 292 KUHP. Penolakan oleh MK terhadap gugatan Euis Sunarti memberi babak baru terhadap perkembangan LBGT di Indonesia; </w:t>
      </w:r>
    </w:p>
    <w:p w:rsidR="00FA5223" w:rsidRDefault="00DA685F" w:rsidP="000E3017">
      <w:pPr>
        <w:pStyle w:val="NoSpacing"/>
      </w:pPr>
      <w:r>
        <w:lastRenderedPageBreak/>
        <w:t xml:space="preserve">Akan bagaimanakah nasib Pelaku LGBT di Indonesia, tulisan ini secara kritis </w:t>
      </w:r>
      <w:proofErr w:type="gramStart"/>
      <w:r>
        <w:t>akan</w:t>
      </w:r>
      <w:proofErr w:type="gramEnd"/>
      <w:r>
        <w:t xml:space="preserve"> mengulas tentang “Bagaimana Eksistensi LGBT dalam Hukum Islam </w:t>
      </w:r>
      <w:r w:rsidR="00FA5223">
        <w:t xml:space="preserve">dan Hukum Positif </w:t>
      </w:r>
      <w:r w:rsidR="000E3017">
        <w:t>di Indonesia dengan sub masalah</w:t>
      </w:r>
      <w:r>
        <w:t>:</w:t>
      </w:r>
      <w:r w:rsidR="000E3017">
        <w:t xml:space="preserve"> </w:t>
      </w:r>
      <w:r w:rsidR="00034DE9">
        <w:t>Bagaimana Latar B</w:t>
      </w:r>
      <w:r>
        <w:t>el</w:t>
      </w:r>
      <w:r w:rsidR="00034DE9">
        <w:t>akang S</w:t>
      </w:r>
      <w:r w:rsidR="000E3017">
        <w:t xml:space="preserve">ejarah LGBT di Indonesia; </w:t>
      </w:r>
      <w:r>
        <w:t>Bagaimana Pandangan Hukum</w:t>
      </w:r>
      <w:r w:rsidR="00FA5223">
        <w:t xml:space="preserve"> Islam terhadap pelaku LGBT</w:t>
      </w:r>
      <w:r w:rsidR="000E3017">
        <w:t xml:space="preserve"> dan b</w:t>
      </w:r>
      <w:r>
        <w:t xml:space="preserve">agaimana </w:t>
      </w:r>
      <w:r w:rsidR="000E3017">
        <w:t xml:space="preserve">Eksistensi LGBT dalam </w:t>
      </w:r>
      <w:r>
        <w:t xml:space="preserve">Hukum </w:t>
      </w:r>
      <w:r w:rsidR="00FA5223">
        <w:t xml:space="preserve">Positif </w:t>
      </w:r>
      <w:r w:rsidR="000E3017">
        <w:t xml:space="preserve">Indonesia </w:t>
      </w:r>
    </w:p>
    <w:p w:rsidR="000E3017" w:rsidRDefault="000E3017" w:rsidP="00CB7EE9">
      <w:pPr>
        <w:pStyle w:val="NoSpacing"/>
      </w:pPr>
      <w:r>
        <w:t xml:space="preserve">Penelitian ini bertujuan untuk menjajaki jalan keluar bagi LGBT dalam regulasi hukum Indonesia dan mencari format baru dalam bersosialisasi di tengah kelompok mayoritas </w:t>
      </w:r>
      <w:proofErr w:type="gramStart"/>
      <w:r>
        <w:t>muslim</w:t>
      </w:r>
      <w:proofErr w:type="gramEnd"/>
      <w:r>
        <w:t xml:space="preserve">. Proses mencapai tujuan tersebut menggunakan pendekatan </w:t>
      </w:r>
      <w:r w:rsidR="00CB7EE9">
        <w:t>yuridis norm</w:t>
      </w:r>
      <w:r w:rsidR="00034DE9">
        <w:t>a</w:t>
      </w:r>
      <w:r w:rsidR="00CB7EE9">
        <w:t xml:space="preserve">tif; syar’i dan </w:t>
      </w:r>
      <w:r>
        <w:t>sosiologi hukum</w:t>
      </w:r>
      <w:r w:rsidR="00CB7EE9">
        <w:t>.</w:t>
      </w:r>
      <w:r>
        <w:t xml:space="preserve"> </w:t>
      </w:r>
      <w:proofErr w:type="gramStart"/>
      <w:r w:rsidR="00CB7EE9">
        <w:t>Untuk</w:t>
      </w:r>
      <w:r>
        <w:t xml:space="preserve"> mendekatkan dua kutub berseberangan agar kaum pelaku LGBT tetap terlindungi hak-hak dasarnya sembari mengupayakan jalan untuk mengembalikan mereka kepada perilaku dasar dalam ajaran agama.</w:t>
      </w:r>
      <w:proofErr w:type="gramEnd"/>
    </w:p>
    <w:p w:rsidR="002373AD" w:rsidRDefault="002373AD" w:rsidP="000D4BE2">
      <w:pPr>
        <w:pStyle w:val="NoSpacing"/>
      </w:pPr>
    </w:p>
    <w:p w:rsidR="002373AD" w:rsidRPr="000E3017" w:rsidRDefault="008E3895" w:rsidP="000E3017">
      <w:pPr>
        <w:rPr>
          <w:b/>
          <w:bCs/>
          <w:i/>
          <w:iCs/>
        </w:rPr>
      </w:pPr>
      <w:r>
        <w:rPr>
          <w:b/>
          <w:bCs/>
          <w:i/>
          <w:iCs/>
        </w:rPr>
        <w:t>Lintasan Sejarah</w:t>
      </w:r>
      <w:r w:rsidR="002373AD" w:rsidRPr="000E3017">
        <w:rPr>
          <w:b/>
          <w:bCs/>
          <w:i/>
          <w:iCs/>
        </w:rPr>
        <w:t xml:space="preserve"> LGBT di Indonesia</w:t>
      </w:r>
    </w:p>
    <w:p w:rsidR="00867132" w:rsidRDefault="009577CB" w:rsidP="000E3017">
      <w:pPr>
        <w:pStyle w:val="NoSpacing"/>
      </w:pPr>
      <w:proofErr w:type="gramStart"/>
      <w:r>
        <w:t xml:space="preserve">Tidak </w:t>
      </w:r>
      <w:r w:rsidR="00ED1DC8">
        <w:t>ditemukan dalam tulisan akademik perihal sejarah dan perkembangan LGBT di Indonesia, namun diyakini bahwa identitas homoseksualitas baru muncul di kota-kota besar di Indonesia pada dasawarsa awal abad ke -20.</w:t>
      </w:r>
      <w:proofErr w:type="gramEnd"/>
      <w:r w:rsidR="00A96F15">
        <w:t xml:space="preserve"> </w:t>
      </w:r>
      <w:proofErr w:type="gramStart"/>
      <w:r w:rsidR="00A96F15">
        <w:t>Dugaan kemunculan L</w:t>
      </w:r>
      <w:r w:rsidR="005A30CE">
        <w:t>GBT diperkuat dengan sebuah artikel tentang sejarah LGBT di Indonesia yang dilansir oleh Republika.co.id dalam sebuah tulisan berjudul “Menelisik Perjalanan LGBT di Indonesia”.</w:t>
      </w:r>
      <w:proofErr w:type="gramEnd"/>
      <w:r w:rsidR="005A30CE">
        <w:rPr>
          <w:rStyle w:val="FootnoteReference"/>
        </w:rPr>
        <w:footnoteReference w:id="7"/>
      </w:r>
      <w:r w:rsidR="005A30CE">
        <w:t xml:space="preserve"> Artikel ini menjelaskan bahwa LGBT di Indonesia mulai terlacak ketika pada tahun 1960-</w:t>
      </w:r>
      <w:proofErr w:type="gramStart"/>
      <w:r w:rsidR="005A30CE">
        <w:t>an</w:t>
      </w:r>
      <w:proofErr w:type="gramEnd"/>
      <w:r w:rsidR="005A30CE">
        <w:t xml:space="preserve"> merebak istilah </w:t>
      </w:r>
      <w:r w:rsidR="00867132">
        <w:t>Sentul dan Kantil yang sekarang telah berubah menjadi sebutan Buci dan Femme.</w:t>
      </w:r>
      <w:r w:rsidR="00867132">
        <w:rPr>
          <w:rStyle w:val="FootnoteReference"/>
        </w:rPr>
        <w:footnoteReference w:id="8"/>
      </w:r>
      <w:r w:rsidR="00867132">
        <w:t xml:space="preserve"> Disebutkan pula bahwa oraganisasi </w:t>
      </w:r>
      <w:r w:rsidR="00867132">
        <w:lastRenderedPageBreak/>
        <w:t xml:space="preserve">dan Advokasi terhadap LGBT telah berdiri cukup lama, hal ini dapat diperhatikan pada menjamurnya organisasi semisal; HIWAD (Himpunan Wadam Djakarta), Wadam, Wanita Adam dan Wimad. Organisasi yang terakhir ini kemudian mendapat protes dari Majelis Ulama Indonesia (MUI). </w:t>
      </w:r>
    </w:p>
    <w:p w:rsidR="00E866F7" w:rsidRDefault="00867132" w:rsidP="000E3017">
      <w:pPr>
        <w:pStyle w:val="NoSpacing"/>
      </w:pPr>
      <w:r>
        <w:t xml:space="preserve">Pada tahun 1982 para pelaku Homoseksualitas mendirikan lembaga yang bernama LAMBDA Indonesia. </w:t>
      </w:r>
      <w:proofErr w:type="gramStart"/>
      <w:r>
        <w:t xml:space="preserve">Jelang Empat tahun (1986), kelompok pelaku lesbian Indonesia juga mendirikan kelompok persatuan yang bernama PERLESIN </w:t>
      </w:r>
      <w:r w:rsidR="000E3017">
        <w:t>(Persatuan Lesbian Indonesia), kelompok kerja lesbian dan gay n</w:t>
      </w:r>
      <w:r>
        <w:t>usantara.</w:t>
      </w:r>
      <w:proofErr w:type="gramEnd"/>
      <w:r>
        <w:rPr>
          <w:rStyle w:val="FootnoteReference"/>
        </w:rPr>
        <w:footnoteReference w:id="9"/>
      </w:r>
      <w:r>
        <w:t xml:space="preserve">  Pada kisaran tahun 1990-an organisasi-organisasi serupa mulai menjamur di Indonesia. </w:t>
      </w:r>
      <w:proofErr w:type="gramStart"/>
      <w:r>
        <w:t>Mereka (LGBT) melakukan gerakan mereka untuk eksis dengan berlindung pada gerakan emansipasi</w:t>
      </w:r>
      <w:r w:rsidR="00C166C9">
        <w:t>.</w:t>
      </w:r>
      <w:proofErr w:type="gramEnd"/>
      <w:r w:rsidR="00C166C9">
        <w:rPr>
          <w:rStyle w:val="FootnoteReference"/>
        </w:rPr>
        <w:footnoteReference w:id="10"/>
      </w:r>
      <w:r w:rsidR="00C166C9">
        <w:t xml:space="preserve">  </w:t>
      </w:r>
      <w:proofErr w:type="gramStart"/>
      <w:r w:rsidR="00C166C9">
        <w:t>Perubahan suhu politik secara dramatis pada tahun 1988, telah membuka peluang bagi gerakan ini untuk semakin berkembang.</w:t>
      </w:r>
      <w:proofErr w:type="gramEnd"/>
      <w:r w:rsidR="00C166C9">
        <w:t xml:space="preserve">  Tercatat bahwa pada tahun 1988 Kongres Perempuan Indonesia megadakan kegiatan pada bulan Desember dan secara resmi mengikutsertakan perwakilan dari kaum lesbian, wanita biseksual dan pria transgender (LBT) dalam kongres tersebut. </w:t>
      </w:r>
      <w:proofErr w:type="gramStart"/>
      <w:r w:rsidR="00C166C9">
        <w:t>Koalisi Perempuan Indonesia untuk Keadilan dan Demokrasi (KPI) menegaskan secara resmi untuk memasukkan sekt</w:t>
      </w:r>
      <w:r w:rsidR="00504818">
        <w:t>or XV yaitu mereka yang masuk d</w:t>
      </w:r>
      <w:r w:rsidR="00C166C9">
        <w:t>alam kategori (L</w:t>
      </w:r>
      <w:r w:rsidR="000E3017">
        <w:t>G</w:t>
      </w:r>
      <w:r w:rsidR="00C166C9">
        <w:t>BT).</w:t>
      </w:r>
      <w:proofErr w:type="gramEnd"/>
      <w:r w:rsidR="00C166C9">
        <w:rPr>
          <w:rStyle w:val="FootnoteReference"/>
        </w:rPr>
        <w:footnoteReference w:id="11"/>
      </w:r>
    </w:p>
    <w:p w:rsidR="007D5F24" w:rsidRDefault="005B0E74" w:rsidP="000E3017">
      <w:pPr>
        <w:pStyle w:val="NoSpacing"/>
      </w:pPr>
      <w:r>
        <w:t xml:space="preserve">Massifnya gerakan LGBT di Indonesia </w:t>
      </w:r>
      <w:r w:rsidR="007D5F24">
        <w:t xml:space="preserve">dapat terlihat dari hasil laporan Dialog Nasional LGBT Indonesia yang diselenggarakan di Bali pada tanggal 13-14 Juni 2013  yang menyatakan bahwa sampai akhir tahun 2013 tedapat dua jaringan besar LGBT di Indonesi dengan 119 jaringan organisasi. </w:t>
      </w:r>
      <w:proofErr w:type="gramStart"/>
      <w:r w:rsidR="007D5F24">
        <w:t xml:space="preserve">Sebaran organisasi meliputi </w:t>
      </w:r>
      <w:r w:rsidR="007D5F24">
        <w:lastRenderedPageBreak/>
        <w:t>28 Provinsi dari 34 Provinsi di Indonesia.</w:t>
      </w:r>
      <w:proofErr w:type="gramEnd"/>
      <w:r w:rsidR="000E3017">
        <w:rPr>
          <w:rStyle w:val="FootnoteReference"/>
        </w:rPr>
        <w:footnoteReference w:id="12"/>
      </w:r>
      <w:r w:rsidR="000E3017">
        <w:t xml:space="preserve"> </w:t>
      </w:r>
      <w:r w:rsidR="007D5F24">
        <w:t>Gerakan ini mendapat supplay dana dari lembaga donor Internasional semisal USAID, AusAID, UNAID dan UNFPA dan pendanaan paling luas adalah bersumber dari sebuah orgnisasi Belanda yang bernama Hivos dan terkadang pula bersumber dari dana pemerintah Belanda, Ford Foundation.</w:t>
      </w:r>
      <w:r w:rsidR="007D5F24">
        <w:rPr>
          <w:rStyle w:val="FootnoteReference"/>
        </w:rPr>
        <w:footnoteReference w:id="13"/>
      </w:r>
      <w:r w:rsidR="00A96F15">
        <w:t xml:space="preserve"> Kelompok-kelompok donor dan penggerak kampanye LGBT tersebut di atas berperan penting dalam penyeberluasan informasi, gerakan dan organisasi LGBT di Indonesia. </w:t>
      </w:r>
      <w:proofErr w:type="gramStart"/>
      <w:r w:rsidR="00A96F15">
        <w:t>Gerakan ini bertujuan untuk m</w:t>
      </w:r>
      <w:r w:rsidR="000E3017">
        <w:t xml:space="preserve">eminimalisir perlakuan negative </w:t>
      </w:r>
      <w:r w:rsidR="00A96F15">
        <w:t>terhadap kalangan LGBT dan mengkampanyekan advokasi untuk perli</w:t>
      </w:r>
      <w:r w:rsidR="000E3017">
        <w:t>ndungan kaum LGBT di Indonesia dari diskriminasi.</w:t>
      </w:r>
      <w:proofErr w:type="gramEnd"/>
    </w:p>
    <w:p w:rsidR="00EF243E" w:rsidRDefault="00A96F15" w:rsidP="00EF243E">
      <w:pPr>
        <w:pStyle w:val="NoSpacing"/>
      </w:pPr>
      <w:proofErr w:type="gramStart"/>
      <w:r>
        <w:t>Gencarnya kampanye gerakan LGBT dan advokasi internasional tidak menjadikan LGBT mendapat tempat khusu</w:t>
      </w:r>
      <w:r w:rsidR="008A46B8">
        <w:t>s</w:t>
      </w:r>
      <w:r>
        <w:t xml:space="preserve"> di hati </w:t>
      </w:r>
      <w:r w:rsidR="00AA6A1F">
        <w:t>masyarakat Indonesia.</w:t>
      </w:r>
      <w:proofErr w:type="gramEnd"/>
      <w:r w:rsidR="00AA6A1F">
        <w:t xml:space="preserve"> Wahid Foundation melansir pada tanggal 29 Januari 2018. </w:t>
      </w:r>
      <w:r w:rsidR="008A46B8">
        <w:t xml:space="preserve"> </w:t>
      </w:r>
      <w:r w:rsidR="00AA6A1F">
        <w:t>LGBT merupakan hal yang paling dibenci oleh masyarakat Indonesia sebanyak 17</w:t>
      </w:r>
      <w:proofErr w:type="gramStart"/>
      <w:r w:rsidR="00AA6A1F">
        <w:t>,8</w:t>
      </w:r>
      <w:proofErr w:type="gramEnd"/>
      <w:r w:rsidR="00AA6A1F">
        <w:t xml:space="preserve"> % di bawah isyu komunis sebanyak 21,9 %. </w:t>
      </w:r>
      <w:proofErr w:type="gramStart"/>
      <w:r w:rsidR="00AA6A1F">
        <w:t xml:space="preserve">Survey ini juga membuktikan bahwa ada kecenderungan peningkatan terhadap kebencian serupa </w:t>
      </w:r>
      <w:r w:rsidR="008A46B8">
        <w:t>di</w:t>
      </w:r>
      <w:r w:rsidR="00AA6A1F">
        <w:t>banding pada tahun 201</w:t>
      </w:r>
      <w:r w:rsidR="008A46B8">
        <w:t>6</w:t>
      </w:r>
      <w:r w:rsidR="00AA6A1F">
        <w:t xml:space="preserve"> yang menunjukkan bahwa 16.7 % masyarakat Indonesia membenci LGBT dan </w:t>
      </w:r>
      <w:r w:rsidR="008A46B8">
        <w:t>26.1 % pembenci komunis.</w:t>
      </w:r>
      <w:proofErr w:type="gramEnd"/>
      <w:r w:rsidR="008A46B8">
        <w:rPr>
          <w:rStyle w:val="FootnoteReference"/>
        </w:rPr>
        <w:footnoteReference w:id="14"/>
      </w:r>
      <w:r w:rsidR="008A46B8">
        <w:t xml:space="preserve">  </w:t>
      </w:r>
      <w:proofErr w:type="gramStart"/>
      <w:r w:rsidR="000E3017">
        <w:t>Penindasan dan kebencian terhadap pelaku LBGT juga terjadi di Turki.</w:t>
      </w:r>
      <w:proofErr w:type="gramEnd"/>
      <w:r w:rsidR="000E3017">
        <w:t xml:space="preserve"> Hal ini melandasi pernyataan dari Masyarakat Untuk Pendidikan Seksual Pengobatan dan Penelitian (CETAD) dan Asosiasi Psikiatri Turki bahwa heteroseksual, homoseksual dan bisexual merupakan salah satu orientasi seksual. </w:t>
      </w:r>
      <w:proofErr w:type="gramStart"/>
      <w:r w:rsidR="000E3017">
        <w:t xml:space="preserve">Pernyataan ini tak menghentikan perilaku diskriminasi kepada pelaku LGBT dan </w:t>
      </w:r>
      <w:r w:rsidR="000E3017">
        <w:lastRenderedPageBreak/>
        <w:t>menyebabkan mereka harus meninggalkan tempat kediaman dan lingkungan yang membesarkan mereka.</w:t>
      </w:r>
      <w:proofErr w:type="gramEnd"/>
      <w:r w:rsidR="000E3017">
        <w:t xml:space="preserve"> Penelitian </w:t>
      </w:r>
      <w:r w:rsidR="00E87D73">
        <w:t>tersebut juga melansir bahwa dari 30 responden yang mereka wawancarai, ditemukan bahwa pelaku LGBT cenderung mendapat masalah so</w:t>
      </w:r>
      <w:r w:rsidR="00EF243E">
        <w:t>s</w:t>
      </w:r>
      <w:r w:rsidR="00E87D73">
        <w:t>ial tidak hanya di daerah asalnya, namun juga di tempat baru mereka.</w:t>
      </w:r>
      <w:r w:rsidR="00A056FC">
        <w:rPr>
          <w:rStyle w:val="FootnoteReference"/>
        </w:rPr>
        <w:footnoteReference w:id="15"/>
      </w:r>
      <w:r w:rsidR="000E3017">
        <w:t xml:space="preserve">  </w:t>
      </w:r>
    </w:p>
    <w:p w:rsidR="00A96F15" w:rsidRDefault="00EF243E" w:rsidP="00CB7EE9">
      <w:pPr>
        <w:pStyle w:val="NoSpacing"/>
      </w:pPr>
      <w:proofErr w:type="gramStart"/>
      <w:r>
        <w:t>Apa</w:t>
      </w:r>
      <w:proofErr w:type="gramEnd"/>
      <w:r>
        <w:t xml:space="preserve"> yang berlaku di Indonesia maupun Turki menjadi landasan kuat mengemukakan bahwa perilaku LGBT mendapat tantangan kuat dari komunitas muslim. </w:t>
      </w:r>
      <w:proofErr w:type="gramStart"/>
      <w:r>
        <w:t>Tentu</w:t>
      </w:r>
      <w:r w:rsidR="00CB7EE9">
        <w:t xml:space="preserve"> </w:t>
      </w:r>
      <w:r>
        <w:t xml:space="preserve">saja perilaku </w:t>
      </w:r>
      <w:r w:rsidR="00CB7EE9">
        <w:t>se</w:t>
      </w:r>
      <w:r>
        <w:t xml:space="preserve">demikian keras tersebut tanpa dasar, sehingga menarik untuk melakukan kajian dalil hukum Islam </w:t>
      </w:r>
      <w:r w:rsidR="00CB7EE9">
        <w:t>tentang</w:t>
      </w:r>
      <w:r>
        <w:t xml:space="preserve"> LGBT.</w:t>
      </w:r>
      <w:proofErr w:type="gramEnd"/>
      <w:r>
        <w:t xml:space="preserve"> </w:t>
      </w:r>
      <w:r w:rsidR="000E3017">
        <w:t xml:space="preserve"> </w:t>
      </w:r>
    </w:p>
    <w:p w:rsidR="008A46B8" w:rsidRDefault="008A46B8" w:rsidP="000D4BE2">
      <w:pPr>
        <w:pStyle w:val="NoSpacing"/>
      </w:pPr>
    </w:p>
    <w:p w:rsidR="008A46B8" w:rsidRPr="000E3017" w:rsidRDefault="008A46B8" w:rsidP="000E3017">
      <w:pPr>
        <w:rPr>
          <w:b/>
          <w:bCs/>
        </w:rPr>
      </w:pPr>
      <w:r w:rsidRPr="000E3017">
        <w:rPr>
          <w:b/>
          <w:bCs/>
          <w:i/>
          <w:iCs/>
        </w:rPr>
        <w:t>Pandangan Hukum Islam Terhadap LGBT</w:t>
      </w:r>
    </w:p>
    <w:p w:rsidR="00257331" w:rsidRDefault="008A46B8" w:rsidP="00CB7EE9">
      <w:pPr>
        <w:pStyle w:val="NoSpacing"/>
      </w:pPr>
      <w:proofErr w:type="gramStart"/>
      <w:r>
        <w:t>Majelis Ulama Indonesia (MUI) telah mengelurkan fatwa tentang LGBT dalam Fatwa MUI No 57 Tahun 2014.</w:t>
      </w:r>
      <w:proofErr w:type="gramEnd"/>
      <w:r>
        <w:t xml:space="preserve"> </w:t>
      </w:r>
      <w:r w:rsidR="00335E0D">
        <w:t xml:space="preserve"> Fatwa ini dikeluarkan pada tanggal 31 Desember 2014</w:t>
      </w:r>
      <w:r w:rsidR="0024258E">
        <w:t xml:space="preserve"> berisi 11 ketentuan hukum terhadap perbuatan LGBT dan 4 rekomendasi. </w:t>
      </w:r>
      <w:r w:rsidR="0024258E">
        <w:rPr>
          <w:rStyle w:val="FootnoteReference"/>
        </w:rPr>
        <w:footnoteReference w:id="16"/>
      </w:r>
      <w:r w:rsidR="003C18F8">
        <w:t xml:space="preserve"> </w:t>
      </w:r>
      <w:proofErr w:type="gramStart"/>
      <w:r w:rsidR="003C18F8">
        <w:t>Menarik untuk disimak bahwa</w:t>
      </w:r>
      <w:r w:rsidR="00CB7EE9">
        <w:t>,</w:t>
      </w:r>
      <w:r w:rsidR="003C18F8">
        <w:t xml:space="preserve"> MUI secara </w:t>
      </w:r>
      <w:r w:rsidR="00011902">
        <w:t>tegas</w:t>
      </w:r>
      <w:r w:rsidR="003C18F8">
        <w:t xml:space="preserve"> mengelurkan pernyataan sikap atas perilaku LG</w:t>
      </w:r>
      <w:r w:rsidR="00CB7EE9">
        <w:t>B</w:t>
      </w:r>
      <w:r w:rsidR="003C18F8">
        <w:t>T dan merekomendasikan pemerintah untuk segara membuat perundang-undang</w:t>
      </w:r>
      <w:r w:rsidR="00CB7EE9">
        <w:t>an</w:t>
      </w:r>
      <w:r w:rsidR="003C18F8">
        <w:t xml:space="preserve"> </w:t>
      </w:r>
      <w:r w:rsidR="00CB7EE9">
        <w:t xml:space="preserve">peniadaan </w:t>
      </w:r>
      <w:r w:rsidR="003C18F8">
        <w:t xml:space="preserve">legalitas LGBT </w:t>
      </w:r>
      <w:r w:rsidR="00CB7EE9">
        <w:t>di</w:t>
      </w:r>
      <w:r w:rsidR="003C18F8">
        <w:t xml:space="preserve"> Indonesia.</w:t>
      </w:r>
      <w:proofErr w:type="gramEnd"/>
      <w:r w:rsidR="003C18F8">
        <w:t xml:space="preserve">  </w:t>
      </w:r>
      <w:proofErr w:type="gramStart"/>
      <w:r w:rsidR="003C18F8">
        <w:t>Aturan-aturan yang terbangun dimaksudkan untuk menjadi pemberi efek jera bagi pelaku dan menjadi u</w:t>
      </w:r>
      <w:r w:rsidR="00CB7EE9">
        <w:t>nsur pencegah bagi calon pelaku.</w:t>
      </w:r>
      <w:proofErr w:type="gramEnd"/>
    </w:p>
    <w:p w:rsidR="00E866F7" w:rsidRDefault="00257331" w:rsidP="004F3B9B">
      <w:pPr>
        <w:pStyle w:val="NoSpacing"/>
      </w:pPr>
      <w:r>
        <w:t xml:space="preserve">LGBT merupakan perilaku sosial menyimpang yang </w:t>
      </w:r>
      <w:proofErr w:type="gramStart"/>
      <w:r>
        <w:t>usia</w:t>
      </w:r>
      <w:proofErr w:type="gramEnd"/>
      <w:r>
        <w:t xml:space="preserve"> dan sifatnya sudah sangat tua. Perilaku ini telah dilaksanakan oleh umat Nabi Luth sebagaimana diabadikan dalam QS al-Syu’ar</w:t>
      </w:r>
      <w:r>
        <w:rPr>
          <w:rFonts w:cs="Times New Roman"/>
        </w:rPr>
        <w:t>ā</w:t>
      </w:r>
      <w:r>
        <w:t>/</w:t>
      </w:r>
      <w:proofErr w:type="gramStart"/>
      <w:r>
        <w:t>26 :</w:t>
      </w:r>
      <w:proofErr w:type="gramEnd"/>
      <w:r>
        <w:t xml:space="preserve"> 165-166 sebagai berikut :</w:t>
      </w:r>
    </w:p>
    <w:p w:rsidR="00257331" w:rsidRDefault="00257331" w:rsidP="00257331">
      <w:pPr>
        <w:pStyle w:val="Heading2"/>
        <w:rPr>
          <w:rFonts w:ascii="(normal text)" w:hAnsi="(normal text)"/>
        </w:rPr>
      </w:pPr>
      <w:r>
        <w:sym w:font="HQPB5" w:char="F074"/>
      </w:r>
      <w:r>
        <w:sym w:font="HQPB2" w:char="F062"/>
      </w:r>
      <w:r>
        <w:sym w:font="HQPB2" w:char="F071"/>
      </w:r>
      <w:r>
        <w:sym w:font="HQPB4" w:char="F0E8"/>
      </w:r>
      <w:r>
        <w:sym w:font="HQPB1" w:char="F03F"/>
      </w:r>
      <w:r>
        <w:sym w:font="HQPB4" w:char="F0F9"/>
      </w:r>
      <w:r>
        <w:sym w:font="HQPB1" w:char="F027"/>
      </w:r>
      <w:r>
        <w:sym w:font="HQPB5" w:char="F073"/>
      </w:r>
      <w:r>
        <w:sym w:font="HQPB1" w:char="F03F"/>
      </w:r>
      <w:r>
        <w:sym w:font="HQPB5" w:char="F072"/>
      </w:r>
      <w:r>
        <w:sym w:font="HQPB1" w:char="F026"/>
      </w:r>
      <w:r>
        <w:rPr>
          <w:rFonts w:ascii="(normal text)" w:hAnsi="(normal text)"/>
          <w:rtl/>
        </w:rPr>
        <w:t xml:space="preserve"> </w:t>
      </w:r>
      <w:r>
        <w:sym w:font="HQPB5" w:char="F074"/>
      </w:r>
      <w:r>
        <w:sym w:font="HQPB2" w:char="F062"/>
      </w:r>
      <w:r>
        <w:sym w:font="HQPB1" w:char="F023"/>
      </w:r>
      <w:r>
        <w:sym w:font="HQPB5" w:char="F074"/>
      </w:r>
      <w:r>
        <w:sym w:font="HQPB1" w:char="F08D"/>
      </w:r>
      <w:r>
        <w:sym w:font="HQPB4" w:char="F0F8"/>
      </w:r>
      <w:r>
        <w:sym w:font="HQPB2" w:char="F02E"/>
      </w:r>
      <w:r>
        <w:sym w:font="HQPB4" w:char="F097"/>
      </w:r>
      <w:r>
        <w:sym w:font="HQPB3" w:char="F025"/>
      </w:r>
      <w:r>
        <w:sym w:font="HQPB3" w:char="F021"/>
      </w:r>
      <w:r>
        <w:sym w:font="HQPB5" w:char="F024"/>
      </w:r>
      <w:r>
        <w:sym w:font="HQPB1" w:char="F023"/>
      </w:r>
      <w:r>
        <w:rPr>
          <w:rFonts w:ascii="(normal text)" w:hAnsi="(normal text)"/>
          <w:rtl/>
        </w:rPr>
        <w:t xml:space="preserve"> </w:t>
      </w:r>
      <w:r>
        <w:sym w:font="HQPB5" w:char="F07A"/>
      </w:r>
      <w:r>
        <w:sym w:font="HQPB2" w:char="F060"/>
      </w:r>
      <w:r>
        <w:sym w:font="HQPB4" w:char="F0CF"/>
      </w:r>
      <w:r>
        <w:sym w:font="HQPB2" w:char="F042"/>
      </w:r>
      <w:r>
        <w:rPr>
          <w:rFonts w:ascii="(normal text)" w:hAnsi="(normal text)"/>
          <w:rtl/>
        </w:rPr>
        <w:t xml:space="preserve"> </w:t>
      </w:r>
      <w:r>
        <w:sym w:font="HQPB5" w:char="F074"/>
      </w:r>
      <w:r>
        <w:sym w:font="HQPB2" w:char="F0FB"/>
      </w:r>
      <w:r>
        <w:sym w:font="HQPB2" w:char="F0FC"/>
      </w:r>
      <w:r>
        <w:sym w:font="HQPB4" w:char="F0CF"/>
      </w:r>
      <w:r>
        <w:sym w:font="HQPB2" w:char="F04A"/>
      </w:r>
      <w:r>
        <w:sym w:font="HQPB5" w:char="F06E"/>
      </w:r>
      <w:r>
        <w:sym w:font="HQPB2" w:char="F03D"/>
      </w:r>
      <w:r>
        <w:sym w:font="HQPB2" w:char="F0BB"/>
      </w:r>
      <w:r>
        <w:sym w:font="HQPB5" w:char="F079"/>
      </w:r>
      <w:r>
        <w:sym w:font="HQPB1" w:char="F0E8"/>
      </w:r>
      <w:r>
        <w:sym w:font="HQPB4" w:char="F0F8"/>
      </w:r>
      <w:r>
        <w:sym w:font="HQPB2" w:char="F039"/>
      </w:r>
      <w:r>
        <w:sym w:font="HQPB5" w:char="F024"/>
      </w:r>
      <w:r>
        <w:sym w:font="HQPB1" w:char="F023"/>
      </w:r>
      <w:r>
        <w:rPr>
          <w:rFonts w:ascii="(normal text)" w:hAnsi="(normal text)"/>
          <w:rtl/>
        </w:rPr>
        <w:t xml:space="preserve"> </w:t>
      </w:r>
      <w:r>
        <w:sym w:font="HQPB2" w:char="F0C7"/>
      </w:r>
      <w:r>
        <w:sym w:font="HQPB2" w:char="F0CA"/>
      </w:r>
      <w:r>
        <w:sym w:font="HQPB2" w:char="F0CF"/>
      </w:r>
      <w:r>
        <w:sym w:font="HQPB2" w:char="F0CE"/>
      </w:r>
      <w:r>
        <w:sym w:font="HQPB2" w:char="F0C8"/>
      </w:r>
      <w:r>
        <w:rPr>
          <w:rFonts w:ascii="(normal text)" w:hAnsi="(normal text)"/>
          <w:rtl/>
        </w:rPr>
        <w:t xml:space="preserve">   </w:t>
      </w:r>
      <w:r>
        <w:sym w:font="HQPB5" w:char="F074"/>
      </w:r>
      <w:r>
        <w:sym w:font="HQPB2" w:char="F062"/>
      </w:r>
      <w:r>
        <w:sym w:font="HQPB2" w:char="F072"/>
      </w:r>
      <w:r>
        <w:sym w:font="HQPB4" w:char="F0E2"/>
      </w:r>
      <w:r>
        <w:sym w:font="HQPB1" w:char="F091"/>
      </w:r>
      <w:r>
        <w:sym w:font="HQPB5" w:char="F078"/>
      </w:r>
      <w:r>
        <w:sym w:font="HQPB1" w:char="F08B"/>
      </w:r>
      <w:r>
        <w:sym w:font="HQPB5" w:char="F073"/>
      </w:r>
      <w:r>
        <w:sym w:font="HQPB1" w:char="F03F"/>
      </w:r>
      <w:r>
        <w:sym w:font="HQPB5" w:char="F075"/>
      </w:r>
      <w:r>
        <w:sym w:font="HQPB2" w:char="F072"/>
      </w:r>
      <w:r>
        <w:rPr>
          <w:rFonts w:ascii="(normal text)" w:hAnsi="(normal text)"/>
          <w:rtl/>
        </w:rPr>
        <w:t xml:space="preserve"> </w:t>
      </w:r>
      <w:r>
        <w:sym w:font="HQPB1" w:char="F024"/>
      </w:r>
      <w:r>
        <w:sym w:font="HQPB5" w:char="F074"/>
      </w:r>
      <w:r>
        <w:sym w:font="HQPB2" w:char="F042"/>
      </w:r>
      <w:r>
        <w:rPr>
          <w:rFonts w:ascii="(normal text)" w:hAnsi="(normal text)"/>
          <w:rtl/>
        </w:rPr>
        <w:t xml:space="preserve"> </w:t>
      </w:r>
      <w:r>
        <w:sym w:font="HQPB5" w:char="F074"/>
      </w:r>
      <w:r>
        <w:sym w:font="HQPB2" w:char="F02C"/>
      </w:r>
      <w:r>
        <w:sym w:font="HQPB5" w:char="F06E"/>
      </w:r>
      <w:r>
        <w:sym w:font="HQPB2" w:char="F03D"/>
      </w:r>
      <w:r>
        <w:sym w:font="HQPB5" w:char="F079"/>
      </w:r>
      <w:r>
        <w:sym w:font="HQPB1" w:char="F07B"/>
      </w:r>
      <w:r>
        <w:rPr>
          <w:rFonts w:ascii="(normal text)" w:hAnsi="(normal text)"/>
          <w:rtl/>
        </w:rPr>
        <w:t xml:space="preserve"> </w:t>
      </w:r>
      <w:r>
        <w:sym w:font="HQPB4" w:char="F0F6"/>
      </w:r>
      <w:r>
        <w:sym w:font="HQPB3" w:char="F02F"/>
      </w:r>
      <w:r>
        <w:sym w:font="HQPB4" w:char="F0E4"/>
      </w:r>
      <w:r>
        <w:sym w:font="HQPB2" w:char="F033"/>
      </w:r>
      <w:r>
        <w:sym w:font="HQPB5" w:char="F073"/>
      </w:r>
      <w:r>
        <w:sym w:font="HQPB2" w:char="F039"/>
      </w:r>
      <w:r>
        <w:rPr>
          <w:rFonts w:ascii="(normal text)" w:hAnsi="(normal text)"/>
          <w:rtl/>
        </w:rPr>
        <w:t xml:space="preserve"> </w:t>
      </w:r>
      <w:r>
        <w:sym w:font="HQPB2" w:char="F04E"/>
      </w:r>
      <w:r>
        <w:sym w:font="HQPB4" w:char="F0E4"/>
      </w:r>
      <w:r>
        <w:sym w:font="HQPB2" w:char="F033"/>
      </w:r>
      <w:r>
        <w:sym w:font="HQPB4" w:char="F09A"/>
      </w:r>
      <w:r>
        <w:sym w:font="HQPB1" w:char="F02F"/>
      </w:r>
      <w:r>
        <w:sym w:font="HQPB5" w:char="F075"/>
      </w:r>
      <w:r>
        <w:sym w:font="HQPB1" w:char="F091"/>
      </w:r>
      <w:r>
        <w:rPr>
          <w:rFonts w:ascii="(normal text)" w:hAnsi="(normal text)"/>
          <w:rtl/>
        </w:rPr>
        <w:t xml:space="preserve"> </w:t>
      </w:r>
      <w:r>
        <w:sym w:font="HQPB4" w:char="F0F4"/>
      </w:r>
      <w:r>
        <w:sym w:font="HQPB2" w:char="F060"/>
      </w:r>
      <w:r>
        <w:sym w:font="HQPB4" w:char="F0CF"/>
      </w:r>
      <w:r>
        <w:sym w:font="HQPB4" w:char="F069"/>
      </w:r>
      <w:r>
        <w:sym w:font="HQPB2" w:char="F042"/>
      </w:r>
      <w:r>
        <w:rPr>
          <w:rFonts w:ascii="(normal text)" w:hAnsi="(normal text)"/>
          <w:rtl/>
        </w:rPr>
        <w:t xml:space="preserve"> </w:t>
      </w:r>
      <w:r>
        <w:sym w:font="HQPB2" w:char="F04E"/>
      </w:r>
      <w:r>
        <w:sym w:font="HQPB4" w:char="F0E4"/>
      </w:r>
      <w:r>
        <w:sym w:font="HQPB2" w:char="F033"/>
      </w:r>
      <w:r>
        <w:sym w:font="HQPB4" w:char="F0C5"/>
      </w:r>
      <w:r>
        <w:sym w:font="HQPB1" w:char="F05F"/>
      </w:r>
      <w:r>
        <w:sym w:font="HQPB2" w:char="F0BA"/>
      </w:r>
      <w:r>
        <w:sym w:font="HQPB5" w:char="F075"/>
      </w:r>
      <w:r>
        <w:sym w:font="HQPB2" w:char="F072"/>
      </w:r>
      <w:r>
        <w:sym w:font="HQPB4" w:char="F0F8"/>
      </w:r>
      <w:r>
        <w:sym w:font="HQPB1" w:char="F097"/>
      </w:r>
      <w:r>
        <w:sym w:font="HQPB5" w:char="F072"/>
      </w:r>
      <w:r>
        <w:sym w:font="HQPB1" w:char="F026"/>
      </w:r>
      <w:r>
        <w:rPr>
          <w:rFonts w:ascii="(normal text)" w:hAnsi="(normal text)"/>
          <w:rtl/>
        </w:rPr>
        <w:t xml:space="preserve"> </w:t>
      </w:r>
      <w:r>
        <w:sym w:font="HQPB4" w:char="F034"/>
      </w:r>
      <w:r>
        <w:rPr>
          <w:rFonts w:ascii="(normal text)" w:hAnsi="(normal text)"/>
          <w:rtl/>
        </w:rPr>
        <w:t xml:space="preserve"> </w:t>
      </w:r>
      <w:r>
        <w:sym w:font="HQPB4" w:char="F0F6"/>
      </w:r>
      <w:r>
        <w:sym w:font="HQPB2" w:char="F040"/>
      </w:r>
      <w:r>
        <w:sym w:font="HQPB5" w:char="F074"/>
      </w:r>
      <w:r>
        <w:sym w:font="HQPB1" w:char="F02F"/>
      </w:r>
      <w:r>
        <w:rPr>
          <w:rFonts w:ascii="(normal text)" w:hAnsi="(normal text)"/>
          <w:rtl/>
        </w:rPr>
        <w:t xml:space="preserve"> </w:t>
      </w:r>
      <w:r>
        <w:sym w:font="HQPB4" w:char="F0F6"/>
      </w:r>
      <w:r>
        <w:sym w:font="HQPB2" w:char="F04E"/>
      </w:r>
      <w:r>
        <w:sym w:font="HQPB4" w:char="F0E7"/>
      </w:r>
      <w:r>
        <w:sym w:font="HQPB1" w:char="F046"/>
      </w:r>
      <w:r>
        <w:sym w:font="HQPB2" w:char="F052"/>
      </w:r>
      <w:r>
        <w:sym w:font="HQPB5" w:char="F072"/>
      </w:r>
      <w:r>
        <w:sym w:font="HQPB1" w:char="F026"/>
      </w:r>
      <w:r>
        <w:rPr>
          <w:rFonts w:ascii="(normal text)" w:hAnsi="(normal text)"/>
          <w:rtl/>
        </w:rPr>
        <w:t xml:space="preserve"> </w:t>
      </w:r>
      <w:r>
        <w:lastRenderedPageBreak/>
        <w:sym w:font="HQPB4" w:char="F0EE"/>
      </w:r>
      <w:r>
        <w:sym w:font="HQPB2" w:char="F050"/>
      </w:r>
      <w:r>
        <w:sym w:font="HQPB4" w:char="F0F6"/>
      </w:r>
      <w:r>
        <w:sym w:font="HQPB2" w:char="F071"/>
      </w:r>
      <w:r>
        <w:sym w:font="HQPB5" w:char="F073"/>
      </w:r>
      <w:r>
        <w:sym w:font="HQPB2" w:char="F025"/>
      </w:r>
      <w:r>
        <w:rPr>
          <w:rFonts w:ascii="(normal text)" w:hAnsi="(normal text)"/>
          <w:rtl/>
        </w:rPr>
        <w:t xml:space="preserve"> </w:t>
      </w:r>
      <w:r>
        <w:sym w:font="HQPB5" w:char="F09A"/>
      </w:r>
      <w:r>
        <w:sym w:font="HQPB2" w:char="F063"/>
      </w:r>
      <w:r>
        <w:sym w:font="HQPB2" w:char="F072"/>
      </w:r>
      <w:r>
        <w:sym w:font="HQPB4" w:char="F0DF"/>
      </w:r>
      <w:r>
        <w:sym w:font="HQPB1" w:char="F08A"/>
      </w:r>
      <w:r>
        <w:sym w:font="HQPB1" w:char="F025"/>
      </w:r>
      <w:r>
        <w:sym w:font="HQPB5" w:char="F074"/>
      </w:r>
      <w:r>
        <w:sym w:font="HQPB1" w:char="F0E6"/>
      </w:r>
      <w:r>
        <w:rPr>
          <w:rFonts w:ascii="(normal text)" w:hAnsi="(normal text)"/>
          <w:rtl/>
        </w:rPr>
        <w:t xml:space="preserve"> </w:t>
      </w:r>
      <w:r>
        <w:sym w:font="HQPB2" w:char="F0C7"/>
      </w:r>
      <w:r>
        <w:sym w:font="HQPB2" w:char="F0CA"/>
      </w:r>
      <w:r>
        <w:sym w:font="HQPB2" w:char="F0CF"/>
      </w:r>
      <w:r>
        <w:sym w:font="HQPB2" w:char="F0CF"/>
      </w:r>
      <w:r>
        <w:sym w:font="HQPB2" w:char="F0C8"/>
      </w:r>
      <w:r>
        <w:rPr>
          <w:rFonts w:ascii="(normal text)" w:hAnsi="(normal text)"/>
          <w:rtl/>
        </w:rPr>
        <w:t xml:space="preserve">   </w:t>
      </w:r>
    </w:p>
    <w:p w:rsidR="00257331" w:rsidRDefault="00257331" w:rsidP="00257331">
      <w:proofErr w:type="gramStart"/>
      <w:r>
        <w:t>Terjemahnya :</w:t>
      </w:r>
      <w:proofErr w:type="gramEnd"/>
    </w:p>
    <w:p w:rsidR="00257331" w:rsidRDefault="00257331" w:rsidP="00322129">
      <w:pPr>
        <w:pStyle w:val="Heading3"/>
      </w:pPr>
      <w:r>
        <w:t>Mengapa kamu mendatangi jenis lelaki di antara manusia, Dan kamu tinggalkan isteri-isteri yang dijadikan oleh Tuhanmu untukmu, bahkan kamu adalah orang-orang yang melampaui batas".</w:t>
      </w:r>
      <w:r>
        <w:rPr>
          <w:rStyle w:val="FootnoteReference"/>
        </w:rPr>
        <w:footnoteReference w:id="17"/>
      </w:r>
    </w:p>
    <w:p w:rsidR="00870C7F" w:rsidRDefault="00322129" w:rsidP="00646857">
      <w:pPr>
        <w:ind w:firstLine="618"/>
      </w:pPr>
      <w:r>
        <w:t>Firman Allah pada QS al-A’r</w:t>
      </w:r>
      <w:r>
        <w:rPr>
          <w:rFonts w:cs="Times New Roman"/>
        </w:rPr>
        <w:t>ā</w:t>
      </w:r>
      <w:r>
        <w:t>f/</w:t>
      </w:r>
      <w:proofErr w:type="gramStart"/>
      <w:r>
        <w:t>7 :</w:t>
      </w:r>
      <w:proofErr w:type="gramEnd"/>
      <w:r>
        <w:t xml:space="preserve"> 33 sebagai berikut :</w:t>
      </w:r>
    </w:p>
    <w:p w:rsidR="00322129" w:rsidRDefault="00322129" w:rsidP="00322129">
      <w:pPr>
        <w:pStyle w:val="Heading2"/>
        <w:rPr>
          <w:rFonts w:ascii="(normal text)" w:hAnsi="(normal text)"/>
        </w:rPr>
      </w:pPr>
      <w:r>
        <w:sym w:font="HQPB1" w:char="F024"/>
      </w:r>
      <w:r>
        <w:sym w:font="HQPB5" w:char="F079"/>
      </w:r>
      <w:r>
        <w:sym w:font="HQPB2" w:char="F04A"/>
      </w:r>
      <w:r>
        <w:sym w:font="HQPB4" w:char="F0AF"/>
      </w:r>
      <w:r>
        <w:sym w:font="HQPB2" w:char="F052"/>
      </w:r>
      <w:r>
        <w:sym w:font="HQPB4" w:char="F0CE"/>
      </w:r>
      <w:r>
        <w:sym w:font="HQPB1" w:char="F029"/>
      </w:r>
      <w:r>
        <w:rPr>
          <w:rFonts w:ascii="(normal text)" w:hAnsi="(normal text)"/>
          <w:rtl/>
        </w:rPr>
        <w:t xml:space="preserve"> </w:t>
      </w:r>
      <w:r>
        <w:sym w:font="HQPB5" w:char="F074"/>
      </w:r>
      <w:r>
        <w:sym w:font="HQPB2" w:char="F050"/>
      </w:r>
      <w:r>
        <w:sym w:font="HQPB4" w:char="F0A7"/>
      </w:r>
      <w:r>
        <w:sym w:font="HQPB1" w:char="F08D"/>
      </w:r>
      <w:r>
        <w:sym w:font="HQPB5" w:char="F079"/>
      </w:r>
      <w:r>
        <w:sym w:font="HQPB1" w:char="F06D"/>
      </w:r>
      <w:r>
        <w:rPr>
          <w:rFonts w:ascii="(normal text)" w:hAnsi="(normal text)"/>
          <w:rtl/>
        </w:rPr>
        <w:t xml:space="preserve"> </w:t>
      </w:r>
      <w:r>
        <w:sym w:font="HQPB5" w:char="F07D"/>
      </w:r>
      <w:r>
        <w:sym w:font="HQPB2" w:char="F091"/>
      </w:r>
      <w:r>
        <w:sym w:font="HQPB4" w:char="F0CE"/>
      </w:r>
      <w:r>
        <w:sym w:font="HQPB4" w:char="F06E"/>
      </w:r>
      <w:r>
        <w:sym w:font="HQPB1" w:char="F02F"/>
      </w:r>
      <w:r>
        <w:sym w:font="HQPB5" w:char="F075"/>
      </w:r>
      <w:r>
        <w:sym w:font="HQPB1" w:char="F091"/>
      </w:r>
      <w:r>
        <w:rPr>
          <w:rFonts w:ascii="(normal text)" w:hAnsi="(normal text)"/>
          <w:rtl/>
        </w:rPr>
        <w:t xml:space="preserve"> </w:t>
      </w:r>
      <w:r>
        <w:sym w:font="HQPB5" w:char="F07C"/>
      </w:r>
      <w:r>
        <w:sym w:font="HQPB1" w:char="F0B7"/>
      </w:r>
      <w:r>
        <w:sym w:font="HQPB4" w:char="F0CF"/>
      </w:r>
      <w:r>
        <w:sym w:font="HQPB1" w:char="F06D"/>
      </w:r>
      <w:r>
        <w:sym w:font="HQPB2" w:char="F0BA"/>
      </w:r>
      <w:r>
        <w:sym w:font="HQPB5" w:char="F075"/>
      </w:r>
      <w:r>
        <w:sym w:font="HQPB2" w:char="F071"/>
      </w:r>
      <w:r>
        <w:sym w:font="HQPB5" w:char="F078"/>
      </w:r>
      <w:r>
        <w:sym w:font="HQPB1" w:char="F0FF"/>
      </w:r>
      <w:r>
        <w:sym w:font="HQPB4" w:char="F0F8"/>
      </w:r>
      <w:r>
        <w:sym w:font="HQPB2" w:char="F039"/>
      </w:r>
      <w:r>
        <w:sym w:font="HQPB5" w:char="F024"/>
      </w:r>
      <w:r>
        <w:sym w:font="HQPB1" w:char="F023"/>
      </w:r>
      <w:r>
        <w:rPr>
          <w:rFonts w:ascii="(normal text)" w:hAnsi="(normal text)"/>
          <w:rtl/>
        </w:rPr>
        <w:t xml:space="preserve"> </w:t>
      </w:r>
      <w:r>
        <w:sym w:font="HQPB1" w:char="F024"/>
      </w:r>
      <w:r>
        <w:sym w:font="HQPB5" w:char="F074"/>
      </w:r>
      <w:r>
        <w:sym w:font="HQPB2" w:char="F042"/>
      </w:r>
      <w:r>
        <w:rPr>
          <w:rFonts w:ascii="(normal text)" w:hAnsi="(normal text)"/>
          <w:rtl/>
        </w:rPr>
        <w:t xml:space="preserve"> </w:t>
      </w:r>
      <w:r>
        <w:sym w:font="HQPB5" w:char="F074"/>
      </w:r>
      <w:r>
        <w:sym w:font="HQPB1" w:char="F08D"/>
      </w:r>
      <w:r>
        <w:sym w:font="HQPB5" w:char="F079"/>
      </w:r>
      <w:r>
        <w:sym w:font="HQPB2" w:char="F067"/>
      </w:r>
      <w:r>
        <w:sym w:font="HQPB5" w:char="F073"/>
      </w:r>
      <w:r>
        <w:sym w:font="HQPB1" w:char="F0DF"/>
      </w:r>
      <w:r>
        <w:rPr>
          <w:rFonts w:ascii="(normal text)" w:hAnsi="(normal text)"/>
          <w:rtl/>
        </w:rPr>
        <w:t xml:space="preserve"> </w:t>
      </w:r>
      <w:r>
        <w:sym w:font="HQPB1" w:char="F024"/>
      </w:r>
      <w:r>
        <w:sym w:font="HQPB5" w:char="F070"/>
      </w:r>
      <w:r>
        <w:sym w:font="HQPB2" w:char="F06B"/>
      </w:r>
      <w:r>
        <w:sym w:font="HQPB4" w:char="F0F7"/>
      </w:r>
      <w:r>
        <w:sym w:font="HQPB2" w:char="F05D"/>
      </w:r>
      <w:r>
        <w:sym w:font="HQPB4" w:char="F0CF"/>
      </w:r>
      <w:r>
        <w:sym w:font="HQPB2" w:char="F042"/>
      </w:r>
      <w:r>
        <w:rPr>
          <w:rFonts w:ascii="(normal text)" w:hAnsi="(normal text)"/>
          <w:rtl/>
        </w:rPr>
        <w:t xml:space="preserve"> </w:t>
      </w:r>
      <w:r>
        <w:sym w:font="HQPB1" w:char="F024"/>
      </w:r>
      <w:r>
        <w:sym w:font="HQPB5" w:char="F074"/>
      </w:r>
      <w:r>
        <w:sym w:font="HQPB2" w:char="F042"/>
      </w:r>
      <w:r>
        <w:sym w:font="HQPB5" w:char="F075"/>
      </w:r>
      <w:r>
        <w:sym w:font="HQPB2" w:char="F072"/>
      </w:r>
      <w:r>
        <w:rPr>
          <w:rFonts w:ascii="(normal text)" w:hAnsi="(normal text)"/>
          <w:rtl/>
        </w:rPr>
        <w:t xml:space="preserve"> </w:t>
      </w:r>
      <w:r>
        <w:sym w:font="HQPB5" w:char="F07A"/>
      </w:r>
      <w:r>
        <w:sym w:font="HQPB2" w:char="F060"/>
      </w:r>
      <w:r>
        <w:sym w:font="HQPB5" w:char="F073"/>
      </w:r>
      <w:r>
        <w:sym w:font="HQPB1" w:char="F0DC"/>
      </w:r>
      <w:r>
        <w:sym w:font="HQPB5" w:char="F074"/>
      </w:r>
      <w:r>
        <w:sym w:font="HQPB1" w:char="F02F"/>
      </w:r>
      <w:r>
        <w:rPr>
          <w:rFonts w:ascii="(normal text)" w:hAnsi="(normal text)"/>
          <w:rtl/>
        </w:rPr>
        <w:t xml:space="preserve"> </w:t>
      </w:r>
      <w:r>
        <w:sym w:font="HQPB5" w:char="F07A"/>
      </w:r>
      <w:r>
        <w:sym w:font="HQPB2" w:char="F04E"/>
      </w:r>
      <w:r>
        <w:sym w:font="HQPB4" w:char="F0F8"/>
      </w:r>
      <w:r>
        <w:sym w:font="HQPB1" w:char="F04F"/>
      </w:r>
      <w:r>
        <w:sym w:font="HQPB5" w:char="F04D"/>
      </w:r>
      <w:r>
        <w:sym w:font="HQPB2" w:char="F07D"/>
      </w:r>
      <w:r>
        <w:sym w:font="HQPB5" w:char="F024"/>
      </w:r>
      <w:r>
        <w:sym w:font="HQPB1" w:char="F023"/>
      </w:r>
      <w:r>
        <w:sym w:font="HQPB5" w:char="F075"/>
      </w:r>
      <w:r>
        <w:sym w:font="HQPB2" w:char="F072"/>
      </w:r>
      <w:r>
        <w:rPr>
          <w:rFonts w:ascii="(normal text)" w:hAnsi="(normal text)"/>
          <w:rtl/>
        </w:rPr>
        <w:t xml:space="preserve"> </w:t>
      </w:r>
      <w:r>
        <w:sym w:font="HQPB5" w:char="F07A"/>
      </w:r>
      <w:r>
        <w:sym w:font="HQPB2" w:char="F0D3"/>
      </w:r>
      <w:r>
        <w:sym w:font="HQPB4" w:char="F0F8"/>
      </w:r>
      <w:r>
        <w:sym w:font="HQPB1" w:char="F0F6"/>
      </w:r>
      <w:r>
        <w:sym w:font="HQPB5" w:char="F074"/>
      </w:r>
      <w:r>
        <w:sym w:font="HQPB1" w:char="F037"/>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4" w:char="F0CE"/>
      </w:r>
      <w:r>
        <w:sym w:font="HQPB1" w:char="F08E"/>
      </w:r>
      <w:r>
        <w:sym w:font="HQPB4" w:char="F0F6"/>
      </w:r>
      <w:r>
        <w:sym w:font="HQPB2" w:char="F08D"/>
      </w:r>
      <w:r>
        <w:sym w:font="HQPB5" w:char="F074"/>
      </w:r>
      <w:r>
        <w:sym w:font="HQPB1" w:char="F0F3"/>
      </w:r>
      <w:r>
        <w:sym w:font="HQPB4" w:char="F0CE"/>
      </w:r>
      <w:r>
        <w:sym w:font="HQPB1" w:char="F02F"/>
      </w:r>
      <w:r>
        <w:rPr>
          <w:rFonts w:ascii="(normal text)" w:hAnsi="(normal text)"/>
          <w:rtl/>
        </w:rPr>
        <w:t xml:space="preserve"> </w:t>
      </w:r>
      <w:r>
        <w:sym w:font="HQPB4" w:char="F0C8"/>
      </w:r>
      <w:r>
        <w:sym w:font="HQPB4" w:char="F064"/>
      </w:r>
      <w:r>
        <w:sym w:font="HQPB2" w:char="F02C"/>
      </w:r>
      <w:r>
        <w:sym w:font="HQPB5" w:char="F079"/>
      </w:r>
      <w:r>
        <w:sym w:font="HQPB2" w:char="F0DB"/>
      </w:r>
      <w:r>
        <w:sym w:font="HQPB4" w:char="F0F8"/>
      </w:r>
      <w:r>
        <w:sym w:font="HQPB2" w:char="F039"/>
      </w:r>
      <w:r>
        <w:sym w:font="HQPB5" w:char="F024"/>
      </w:r>
      <w:r>
        <w:sym w:font="HQPB1" w:char="F023"/>
      </w:r>
      <w:r>
        <w:rPr>
          <w:rFonts w:ascii="(normal text)" w:hAnsi="(normal text)"/>
          <w:rtl/>
        </w:rPr>
        <w:t xml:space="preserve"> </w:t>
      </w:r>
      <w:r>
        <w:sym w:font="HQPB2" w:char="F062"/>
      </w:r>
      <w:r>
        <w:sym w:font="HQPB5" w:char="F072"/>
      </w:r>
      <w:r>
        <w:sym w:font="HQPB1" w:char="F026"/>
      </w:r>
      <w:r>
        <w:sym w:font="HQPB5" w:char="F075"/>
      </w:r>
      <w:r>
        <w:sym w:font="HQPB2" w:char="F072"/>
      </w:r>
      <w:r>
        <w:rPr>
          <w:rFonts w:ascii="(normal text)" w:hAnsi="(normal text)"/>
          <w:rtl/>
        </w:rPr>
        <w:t xml:space="preserve"> </w:t>
      </w:r>
      <w:r>
        <w:sym w:font="HQPB5" w:char="F028"/>
      </w:r>
      <w:r>
        <w:sym w:font="HQPB1" w:char="F023"/>
      </w:r>
      <w:r>
        <w:sym w:font="HQPB2" w:char="F071"/>
      </w:r>
      <w:r>
        <w:sym w:font="HQPB4" w:char="F0E4"/>
      </w:r>
      <w:r>
        <w:sym w:font="HQPB2" w:char="F02E"/>
      </w:r>
      <w:r>
        <w:sym w:font="HQPB4" w:char="F0CE"/>
      </w:r>
      <w:r>
        <w:sym w:font="HQPB1" w:char="F08E"/>
      </w:r>
      <w:r>
        <w:sym w:font="HQPB4" w:char="F0F4"/>
      </w:r>
      <w:r>
        <w:sym w:font="HQPB1" w:char="F0B3"/>
      </w:r>
      <w:r>
        <w:sym w:font="HQPB4" w:char="F0E8"/>
      </w:r>
      <w:r>
        <w:sym w:font="HQPB1" w:char="F040"/>
      </w:r>
      <w:r>
        <w:rPr>
          <w:rFonts w:ascii="(normal text)" w:hAnsi="(normal text)"/>
          <w:rtl/>
        </w:rPr>
        <w:t xml:space="preserve"> </w:t>
      </w:r>
      <w:r>
        <w:sym w:font="HQPB5" w:char="F0AB"/>
      </w:r>
      <w:r>
        <w:sym w:font="HQPB1" w:char="F021"/>
      </w:r>
      <w:r>
        <w:sym w:font="HQPB5" w:char="F024"/>
      </w:r>
      <w:r>
        <w:sym w:font="HQPB1" w:char="F024"/>
      </w:r>
      <w:r>
        <w:sym w:font="HQPB4" w:char="F0CE"/>
      </w:r>
      <w:r>
        <w:sym w:font="HQPB1" w:char="F02F"/>
      </w:r>
      <w:r>
        <w:rPr>
          <w:rFonts w:ascii="(normal text)" w:hAnsi="(normal text)"/>
          <w:rtl/>
        </w:rPr>
        <w:t xml:space="preserve"> </w:t>
      </w:r>
      <w:r>
        <w:sym w:font="HQPB1" w:char="F024"/>
      </w:r>
      <w:r>
        <w:sym w:font="HQPB5" w:char="F074"/>
      </w:r>
      <w:r>
        <w:sym w:font="HQPB2" w:char="F042"/>
      </w:r>
      <w:r>
        <w:rPr>
          <w:rFonts w:ascii="(normal text)" w:hAnsi="(normal text)"/>
          <w:rtl/>
        </w:rPr>
        <w:t xml:space="preserve"> </w:t>
      </w:r>
      <w:r>
        <w:sym w:font="HQPB4" w:char="F0F3"/>
      </w:r>
      <w:r>
        <w:sym w:font="HQPB2" w:char="F04F"/>
      </w:r>
      <w:r>
        <w:sym w:font="HQPB5" w:char="F073"/>
      </w:r>
      <w:r>
        <w:sym w:font="HQPB2" w:char="F039"/>
      </w:r>
      <w:r>
        <w:rPr>
          <w:rFonts w:ascii="(normal text)" w:hAnsi="(normal text)"/>
          <w:rtl/>
        </w:rPr>
        <w:t xml:space="preserve"> </w:t>
      </w:r>
      <w:r>
        <w:sym w:font="HQPB4" w:char="F0F6"/>
      </w:r>
      <w:r>
        <w:sym w:font="HQPB2" w:char="F041"/>
      </w:r>
      <w:r>
        <w:sym w:font="HQPB4" w:char="F0CD"/>
      </w:r>
      <w:r>
        <w:sym w:font="HQPB4" w:char="F069"/>
      </w:r>
      <w:r>
        <w:sym w:font="HQPB1" w:char="F094"/>
      </w:r>
      <w:r>
        <w:sym w:font="HQPB5" w:char="F074"/>
      </w:r>
      <w:r>
        <w:sym w:font="HQPB2" w:char="F05C"/>
      </w:r>
      <w:r>
        <w:sym w:font="HQPB4" w:char="F0E3"/>
      </w:r>
      <w:r>
        <w:sym w:font="HQPB2" w:char="F083"/>
      </w:r>
      <w:r>
        <w:rPr>
          <w:rFonts w:ascii="(normal text)" w:hAnsi="(normal text)"/>
          <w:rtl/>
        </w:rPr>
        <w:t xml:space="preserve"> </w:t>
      </w:r>
      <w:r>
        <w:sym w:font="HQPB2" w:char="F0BE"/>
      </w:r>
      <w:r>
        <w:sym w:font="HQPB4" w:char="F0CF"/>
      </w:r>
      <w:r>
        <w:sym w:font="HQPB2" w:char="F06D"/>
      </w:r>
      <w:r>
        <w:sym w:font="HQPB4" w:char="F0CE"/>
      </w:r>
      <w:r>
        <w:sym w:font="HQPB1" w:char="F02F"/>
      </w:r>
      <w:r>
        <w:rPr>
          <w:rFonts w:ascii="(normal text)" w:hAnsi="(normal text)"/>
          <w:rtl/>
        </w:rPr>
        <w:t xml:space="preserve"> </w:t>
      </w:r>
      <w:r>
        <w:sym w:font="HQPB1" w:char="F024"/>
      </w:r>
      <w:r>
        <w:sym w:font="HQPB4" w:char="F059"/>
      </w:r>
      <w:r>
        <w:sym w:font="HQPB2" w:char="F05A"/>
      </w:r>
      <w:r>
        <w:sym w:font="HQPB2" w:char="F0BB"/>
      </w:r>
      <w:r>
        <w:sym w:font="HQPB5" w:char="F073"/>
      </w:r>
      <w:r>
        <w:sym w:font="HQPB1" w:char="F0DC"/>
      </w:r>
      <w:r>
        <w:sym w:font="HQPB4" w:char="F0F9"/>
      </w:r>
      <w:r>
        <w:sym w:font="HQPB2" w:char="F03D"/>
      </w:r>
      <w:r>
        <w:sym w:font="HQPB4" w:char="F0DF"/>
      </w:r>
      <w:r>
        <w:sym w:font="HQPB1" w:char="F099"/>
      </w:r>
      <w:r>
        <w:rPr>
          <w:rFonts w:ascii="(normal text)" w:hAnsi="(normal text)"/>
          <w:rtl/>
        </w:rPr>
        <w:t xml:space="preserve"> </w:t>
      </w:r>
      <w:r>
        <w:sym w:font="HQPB2" w:char="F062"/>
      </w:r>
      <w:r>
        <w:sym w:font="HQPB5" w:char="F072"/>
      </w:r>
      <w:r>
        <w:sym w:font="HQPB1" w:char="F026"/>
      </w:r>
      <w:r>
        <w:sym w:font="HQPB5" w:char="F075"/>
      </w:r>
      <w:r>
        <w:sym w:font="HQPB2" w:char="F072"/>
      </w:r>
      <w:r>
        <w:rPr>
          <w:rFonts w:ascii="(normal text)" w:hAnsi="(normal text)"/>
          <w:rtl/>
        </w:rPr>
        <w:t xml:space="preserve"> </w:t>
      </w:r>
      <w:r>
        <w:sym w:font="HQPB5" w:char="F028"/>
      </w:r>
      <w:r>
        <w:sym w:font="HQPB1" w:char="F023"/>
      </w:r>
      <w:r>
        <w:sym w:font="HQPB2" w:char="F071"/>
      </w:r>
      <w:r>
        <w:sym w:font="HQPB4" w:char="F0E4"/>
      </w:r>
      <w:r>
        <w:sym w:font="HQPB2" w:char="F039"/>
      </w:r>
      <w:r>
        <w:sym w:font="HQPB2" w:char="F071"/>
      </w:r>
      <w:r>
        <w:sym w:font="HQPB4" w:char="F0E0"/>
      </w:r>
      <w:r>
        <w:sym w:font="HQPB2" w:char="F029"/>
      </w:r>
      <w:r>
        <w:sym w:font="HQPB5" w:char="F073"/>
      </w:r>
      <w:r>
        <w:sym w:font="HQPB1" w:char="F03F"/>
      </w:r>
      <w:r>
        <w:rPr>
          <w:rFonts w:ascii="(normal text)" w:hAnsi="(normal text)"/>
          <w:rtl/>
        </w:rPr>
        <w:t xml:space="preserve"> </w:t>
      </w:r>
      <w:r>
        <w:sym w:font="HQPB2" w:char="F092"/>
      </w:r>
      <w:r>
        <w:sym w:font="HQPB5" w:char="F06E"/>
      </w:r>
      <w:r>
        <w:sym w:font="HQPB2" w:char="F03F"/>
      </w:r>
      <w:r>
        <w:sym w:font="HQPB5" w:char="F074"/>
      </w:r>
      <w:r>
        <w:sym w:font="HQPB1" w:char="F0E3"/>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1" w:char="F024"/>
      </w:r>
      <w:r>
        <w:sym w:font="HQPB5" w:char="F074"/>
      </w:r>
      <w:r>
        <w:sym w:font="HQPB2" w:char="F042"/>
      </w:r>
      <w:r>
        <w:rPr>
          <w:rFonts w:ascii="(normal text)" w:hAnsi="(normal text)"/>
          <w:rtl/>
        </w:rPr>
        <w:t xml:space="preserve"> </w:t>
      </w:r>
      <w:r>
        <w:sym w:font="HQPB5" w:char="F09F"/>
      </w:r>
      <w:r>
        <w:sym w:font="HQPB2" w:char="F077"/>
      </w:r>
      <w:r>
        <w:rPr>
          <w:rFonts w:ascii="(normal text)" w:hAnsi="(normal text)"/>
          <w:rtl/>
        </w:rPr>
        <w:t xml:space="preserve"> </w:t>
      </w:r>
      <w:r>
        <w:sym w:font="HQPB5" w:char="F074"/>
      </w:r>
      <w:r>
        <w:sym w:font="HQPB2" w:char="F062"/>
      </w:r>
      <w:r>
        <w:sym w:font="HQPB2" w:char="F071"/>
      </w:r>
      <w:r>
        <w:sym w:font="HQPB4" w:char="F0E7"/>
      </w:r>
      <w:r>
        <w:sym w:font="HQPB2" w:char="F048"/>
      </w:r>
      <w:r>
        <w:sym w:font="HQPB5" w:char="F073"/>
      </w:r>
      <w:r>
        <w:sym w:font="HQPB2" w:char="F03E"/>
      </w:r>
      <w:r>
        <w:sym w:font="HQPB4" w:char="F0F7"/>
      </w:r>
      <w:r>
        <w:sym w:font="HQPB1" w:char="F0E8"/>
      </w:r>
      <w:r>
        <w:sym w:font="HQPB5" w:char="F073"/>
      </w:r>
      <w:r>
        <w:sym w:font="HQPB1" w:char="F03F"/>
      </w:r>
      <w:r>
        <w:rPr>
          <w:rFonts w:ascii="(normal text)" w:hAnsi="(normal text)"/>
          <w:rtl/>
        </w:rPr>
        <w:t xml:space="preserve"> </w:t>
      </w:r>
      <w:r>
        <w:sym w:font="HQPB2" w:char="F0C7"/>
      </w:r>
      <w:r>
        <w:sym w:font="HQPB2" w:char="F0CC"/>
      </w:r>
      <w:r>
        <w:sym w:font="HQPB2" w:char="F0CC"/>
      </w:r>
      <w:r>
        <w:sym w:font="HQPB2" w:char="F0C8"/>
      </w:r>
      <w:r>
        <w:rPr>
          <w:rFonts w:ascii="(normal text)" w:hAnsi="(normal text)"/>
          <w:rtl/>
        </w:rPr>
        <w:t xml:space="preserve">   </w:t>
      </w:r>
    </w:p>
    <w:p w:rsidR="00322129" w:rsidRDefault="00322129" w:rsidP="00322129">
      <w:proofErr w:type="gramStart"/>
      <w:r>
        <w:t>Terjemahnya :</w:t>
      </w:r>
      <w:proofErr w:type="gramEnd"/>
    </w:p>
    <w:p w:rsidR="00322129" w:rsidRDefault="00322129" w:rsidP="00322129">
      <w:pPr>
        <w:pStyle w:val="Heading3"/>
      </w:pPr>
      <w:r w:rsidRPr="00322129">
        <w:t>Katakanlah: "Tuhanku hanya mengharamkan perbuatan yang keji, baik yang nampak ataupun yang tersembunyi, dan perbuatan dosa, melanggar hak manusia tanpa alasan yang benar, (mengharamkan) mempersekutukan Allah dengan sesuatu yang Allah tidak menurunkan hujjah untuk itu dan (mengharamkan) mengada-adakan terhadap Allah apa yang tidak kamu ketahui."</w:t>
      </w:r>
      <w:r>
        <w:rPr>
          <w:rStyle w:val="FootnoteReference"/>
        </w:rPr>
        <w:footnoteReference w:id="18"/>
      </w:r>
    </w:p>
    <w:p w:rsidR="00916BE3" w:rsidRDefault="00916BE3" w:rsidP="00195AAA">
      <w:pPr>
        <w:ind w:firstLine="618"/>
        <w:rPr>
          <w:lang w:eastAsia="zh-CN"/>
        </w:rPr>
      </w:pPr>
      <w:r>
        <w:rPr>
          <w:lang w:eastAsia="zh-CN"/>
        </w:rPr>
        <w:t>Fenomena LGBT kaum Nabi Lu</w:t>
      </w:r>
      <w:r>
        <w:rPr>
          <w:rFonts w:cs="Times New Roman"/>
          <w:lang w:eastAsia="zh-CN"/>
        </w:rPr>
        <w:t>ṭ</w:t>
      </w:r>
      <w:r>
        <w:rPr>
          <w:lang w:eastAsia="zh-CN"/>
        </w:rPr>
        <w:t xml:space="preserve"> diabadikan dalam QS al-A’r</w:t>
      </w:r>
      <w:r>
        <w:rPr>
          <w:rFonts w:cs="Times New Roman"/>
          <w:lang w:eastAsia="zh-CN"/>
        </w:rPr>
        <w:t>ā</w:t>
      </w:r>
      <w:r>
        <w:rPr>
          <w:lang w:eastAsia="zh-CN"/>
        </w:rPr>
        <w:t>f/</w:t>
      </w:r>
      <w:proofErr w:type="gramStart"/>
      <w:r>
        <w:rPr>
          <w:lang w:eastAsia="zh-CN"/>
        </w:rPr>
        <w:t>7 :</w:t>
      </w:r>
      <w:proofErr w:type="gramEnd"/>
      <w:r>
        <w:rPr>
          <w:lang w:eastAsia="zh-CN"/>
        </w:rPr>
        <w:t xml:space="preserve"> 80-81 :</w:t>
      </w:r>
    </w:p>
    <w:p w:rsidR="00916BE3" w:rsidRDefault="00916BE3" w:rsidP="00916BE3">
      <w:pPr>
        <w:pStyle w:val="Heading2"/>
        <w:rPr>
          <w:rFonts w:ascii="(normal text)" w:hAnsi="(normal text)"/>
        </w:rPr>
      </w:pPr>
      <w:r>
        <w:sym w:font="HQPB1" w:char="F024"/>
      </w:r>
      <w:r>
        <w:sym w:font="HQPB4" w:char="F0BB"/>
      </w:r>
      <w:r>
        <w:sym w:font="HQPB1" w:char="F0DB"/>
      </w:r>
      <w:r>
        <w:sym w:font="HQPB2" w:char="F071"/>
      </w:r>
      <w:r>
        <w:sym w:font="HQPB4" w:char="F0E4"/>
      </w:r>
      <w:r>
        <w:sym w:font="HQPB2" w:char="F039"/>
      </w:r>
      <w:r>
        <w:sym w:font="HQPB5" w:char="F075"/>
      </w:r>
      <w:r>
        <w:sym w:font="HQPB2" w:char="F072"/>
      </w:r>
      <w:r>
        <w:rPr>
          <w:rFonts w:ascii="(normal text)" w:hAnsi="(normal text)"/>
          <w:rtl/>
        </w:rPr>
        <w:t xml:space="preserve"> </w:t>
      </w:r>
      <w:r>
        <w:sym w:font="HQPB4" w:char="F0F8"/>
      </w:r>
      <w:r>
        <w:sym w:font="HQPB1" w:char="F08C"/>
      </w:r>
      <w:r>
        <w:sym w:font="HQPB4" w:char="F0CE"/>
      </w:r>
      <w:r>
        <w:sym w:font="HQPB1" w:char="F029"/>
      </w:r>
      <w:r>
        <w:rPr>
          <w:rFonts w:ascii="(normal text)" w:hAnsi="(normal text)"/>
          <w:rtl/>
        </w:rPr>
        <w:t xml:space="preserve"> </w:t>
      </w:r>
      <w:r>
        <w:sym w:font="HQPB5" w:char="F074"/>
      </w:r>
      <w:r>
        <w:sym w:font="HQPB2" w:char="F041"/>
      </w:r>
      <w:r>
        <w:sym w:font="HQPB1" w:char="F024"/>
      </w:r>
      <w:r>
        <w:sym w:font="HQPB5" w:char="F073"/>
      </w:r>
      <w:r>
        <w:sym w:font="HQPB2" w:char="F025"/>
      </w:r>
      <w:r>
        <w:rPr>
          <w:rFonts w:ascii="(normal text)" w:hAnsi="(normal text)"/>
          <w:rtl/>
        </w:rPr>
        <w:t xml:space="preserve"> </w:t>
      </w:r>
      <w:r>
        <w:sym w:font="HQPB4" w:char="F0FF"/>
      </w:r>
      <w:r>
        <w:sym w:font="HQPB2" w:char="F0BE"/>
      </w:r>
      <w:r>
        <w:sym w:font="HQPB4" w:char="F0CF"/>
      </w:r>
      <w:r>
        <w:sym w:font="HQPB2" w:char="F06D"/>
      </w:r>
      <w:r>
        <w:sym w:font="HQPB4" w:char="F0CF"/>
      </w:r>
      <w:r>
        <w:sym w:font="HQPB2" w:char="F042"/>
      </w:r>
      <w:r>
        <w:sym w:font="HQPB4" w:char="F0F6"/>
      </w:r>
      <w:r>
        <w:sym w:font="HQPB2" w:char="F071"/>
      </w:r>
      <w:r>
        <w:sym w:font="HQPB5" w:char="F073"/>
      </w:r>
      <w:r>
        <w:sym w:font="HQPB2" w:char="F029"/>
      </w:r>
      <w:r>
        <w:sym w:font="HQPB4" w:char="F0CF"/>
      </w:r>
      <w:r>
        <w:sym w:font="HQPB2" w:char="F039"/>
      </w:r>
      <w:r>
        <w:rPr>
          <w:rFonts w:ascii="(normal text)" w:hAnsi="(normal text)"/>
          <w:rtl/>
        </w:rPr>
        <w:t xml:space="preserve"> </w:t>
      </w:r>
      <w:r>
        <w:sym w:font="HQPB5" w:char="F074"/>
      </w:r>
      <w:r>
        <w:sym w:font="HQPB2" w:char="F062"/>
      </w:r>
      <w:r>
        <w:sym w:font="HQPB2" w:char="F071"/>
      </w:r>
      <w:r>
        <w:sym w:font="HQPB4" w:char="F0E8"/>
      </w:r>
      <w:r>
        <w:sym w:font="HQPB1" w:char="F03F"/>
      </w:r>
      <w:r>
        <w:sym w:font="HQPB4" w:char="F0F9"/>
      </w:r>
      <w:r>
        <w:sym w:font="HQPB1" w:char="F027"/>
      </w:r>
      <w:r>
        <w:sym w:font="HQPB5" w:char="F073"/>
      </w:r>
      <w:r>
        <w:sym w:font="HQPB1" w:char="F03F"/>
      </w:r>
      <w:r>
        <w:sym w:font="HQPB5" w:char="F072"/>
      </w:r>
      <w:r>
        <w:sym w:font="HQPB1" w:char="F026"/>
      </w:r>
      <w:r>
        <w:rPr>
          <w:rFonts w:ascii="(normal text)" w:hAnsi="(normal text)"/>
          <w:rtl/>
        </w:rPr>
        <w:t xml:space="preserve"> </w:t>
      </w:r>
      <w:r>
        <w:sym w:font="HQPB5" w:char="F073"/>
      </w:r>
      <w:r>
        <w:sym w:font="HQPB2" w:char="F070"/>
      </w:r>
      <w:r>
        <w:sym w:font="HQPB5" w:char="F074"/>
      </w:r>
      <w:r>
        <w:sym w:font="HQPB1" w:char="F0B1"/>
      </w:r>
      <w:r>
        <w:sym w:font="HQPB4" w:char="F0C5"/>
      </w:r>
      <w:r>
        <w:sym w:font="HQPB1" w:char="F073"/>
      </w:r>
      <w:r>
        <w:sym w:font="HQPB2" w:char="F0BB"/>
      </w:r>
      <w:r>
        <w:sym w:font="HQPB5" w:char="F078"/>
      </w:r>
      <w:r>
        <w:sym w:font="HQPB1" w:char="F0FF"/>
      </w:r>
      <w:r>
        <w:sym w:font="HQPB4" w:char="F0F8"/>
      </w:r>
      <w:r>
        <w:sym w:font="HQPB2" w:char="F039"/>
      </w:r>
      <w:r>
        <w:sym w:font="HQPB5" w:char="F024"/>
      </w:r>
      <w:r>
        <w:sym w:font="HQPB1" w:char="F023"/>
      </w:r>
      <w:r>
        <w:rPr>
          <w:rFonts w:ascii="(normal text)" w:hAnsi="(normal text)"/>
          <w:rtl/>
        </w:rPr>
        <w:t xml:space="preserve"> </w:t>
      </w:r>
      <w:r>
        <w:sym w:font="HQPB1" w:char="F024"/>
      </w:r>
      <w:r>
        <w:sym w:font="HQPB5" w:char="F074"/>
      </w:r>
      <w:r>
        <w:sym w:font="HQPB2" w:char="F042"/>
      </w:r>
      <w:r>
        <w:rPr>
          <w:rFonts w:ascii="(normal text)" w:hAnsi="(normal text)"/>
          <w:rtl/>
        </w:rPr>
        <w:t xml:space="preserve"> </w:t>
      </w:r>
      <w:r>
        <w:sym w:font="HQPB2" w:char="F04E"/>
      </w:r>
      <w:r>
        <w:sym w:font="HQPB4" w:char="F0E4"/>
      </w:r>
      <w:r>
        <w:sym w:font="HQPB2" w:char="F033"/>
      </w:r>
      <w:r>
        <w:sym w:font="HQPB5" w:char="F073"/>
      </w:r>
      <w:r>
        <w:sym w:font="HQPB2" w:char="F029"/>
      </w:r>
      <w:r>
        <w:sym w:font="HQPB5" w:char="F074"/>
      </w:r>
      <w:r>
        <w:sym w:font="HQPB1" w:char="F037"/>
      </w:r>
      <w:r>
        <w:sym w:font="HQPB5" w:char="F079"/>
      </w:r>
      <w:r>
        <w:sym w:font="HQPB1" w:char="F099"/>
      </w:r>
      <w:r>
        <w:rPr>
          <w:rFonts w:ascii="(normal text)" w:hAnsi="(normal text)"/>
          <w:rtl/>
        </w:rPr>
        <w:t xml:space="preserve"> </w:t>
      </w:r>
      <w:r>
        <w:sym w:font="HQPB1" w:char="F024"/>
      </w:r>
      <w:r>
        <w:sym w:font="HQPB5" w:char="F070"/>
      </w:r>
      <w:r>
        <w:sym w:font="HQPB2" w:char="F06B"/>
      </w:r>
      <w:r>
        <w:sym w:font="HQPB4" w:char="F0CD"/>
      </w:r>
      <w:r>
        <w:sym w:font="HQPB1" w:char="F035"/>
      </w:r>
      <w:r>
        <w:rPr>
          <w:rFonts w:ascii="(normal text)" w:hAnsi="(normal text)"/>
          <w:rtl/>
        </w:rPr>
        <w:t xml:space="preserve"> </w:t>
      </w:r>
      <w:r>
        <w:sym w:font="HQPB4" w:char="F0F4"/>
      </w:r>
      <w:r>
        <w:sym w:font="HQPB2" w:char="F060"/>
      </w:r>
      <w:r>
        <w:sym w:font="HQPB4" w:char="F0CF"/>
      </w:r>
      <w:r>
        <w:sym w:font="HQPB2" w:char="F042"/>
      </w:r>
      <w:r>
        <w:rPr>
          <w:rFonts w:ascii="(normal text)" w:hAnsi="(normal text)"/>
          <w:rtl/>
        </w:rPr>
        <w:t xml:space="preserve"> </w:t>
      </w:r>
      <w:r>
        <w:sym w:font="HQPB4" w:char="F037"/>
      </w:r>
      <w:r>
        <w:sym w:font="HQPB1" w:char="F089"/>
      </w:r>
      <w:r>
        <w:sym w:font="HQPB5" w:char="F074"/>
      </w:r>
      <w:r>
        <w:sym w:font="HQPB1" w:char="F06E"/>
      </w:r>
      <w:r>
        <w:sym w:font="HQPB5" w:char="F072"/>
      </w:r>
      <w:r>
        <w:sym w:font="HQPB1" w:char="F026"/>
      </w:r>
      <w:r>
        <w:rPr>
          <w:rFonts w:ascii="(normal text)" w:hAnsi="(normal text)"/>
          <w:rtl/>
        </w:rPr>
        <w:t xml:space="preserve"> </w:t>
      </w:r>
      <w:r>
        <w:sym w:font="HQPB5" w:char="F09A"/>
      </w:r>
      <w:r>
        <w:sym w:font="HQPB2" w:char="F0C6"/>
      </w:r>
      <w:r>
        <w:sym w:font="HQPB4" w:char="F0CF"/>
      </w:r>
      <w:r>
        <w:sym w:font="HQPB4" w:char="F069"/>
      </w:r>
      <w:r>
        <w:sym w:font="HQPB2" w:char="F042"/>
      </w:r>
      <w:r>
        <w:rPr>
          <w:rFonts w:ascii="(normal text)" w:hAnsi="(normal text)"/>
          <w:rtl/>
        </w:rPr>
        <w:t xml:space="preserve"> </w:t>
      </w:r>
      <w:r>
        <w:sym w:font="HQPB5" w:char="F074"/>
      </w:r>
      <w:r>
        <w:sym w:font="HQPB2" w:char="F0FB"/>
      </w:r>
      <w:r>
        <w:sym w:font="HQPB2" w:char="F0FC"/>
      </w:r>
      <w:r>
        <w:sym w:font="HQPB4" w:char="F0CF"/>
      </w:r>
      <w:r>
        <w:sym w:font="HQPB2" w:char="F04A"/>
      </w:r>
      <w:r>
        <w:sym w:font="HQPB5" w:char="F06E"/>
      </w:r>
      <w:r>
        <w:sym w:font="HQPB2" w:char="F03D"/>
      </w:r>
      <w:r>
        <w:sym w:font="HQPB2" w:char="F0BB"/>
      </w:r>
      <w:r>
        <w:sym w:font="HQPB5" w:char="F079"/>
      </w:r>
      <w:r>
        <w:sym w:font="HQPB1" w:char="F0E8"/>
      </w:r>
      <w:r>
        <w:sym w:font="HQPB4" w:char="F0F8"/>
      </w:r>
      <w:r>
        <w:sym w:font="HQPB2" w:char="F039"/>
      </w:r>
      <w:r>
        <w:sym w:font="HQPB5" w:char="F024"/>
      </w:r>
      <w:r>
        <w:sym w:font="HQPB1" w:char="F023"/>
      </w:r>
      <w:r>
        <w:rPr>
          <w:rFonts w:ascii="(normal text)" w:hAnsi="(normal text)"/>
          <w:rtl/>
        </w:rPr>
        <w:t xml:space="preserve"> </w:t>
      </w:r>
      <w:r>
        <w:sym w:font="HQPB2" w:char="F0C7"/>
      </w:r>
      <w:r>
        <w:sym w:font="HQPB2" w:char="F0D1"/>
      </w:r>
      <w:r>
        <w:sym w:font="HQPB2" w:char="F0C9"/>
      </w:r>
      <w:r>
        <w:sym w:font="HQPB2" w:char="F0C8"/>
      </w:r>
      <w:r>
        <w:rPr>
          <w:rFonts w:ascii="(normal text)" w:hAnsi="(normal text)"/>
          <w:rtl/>
        </w:rPr>
        <w:t xml:space="preserve">   </w:t>
      </w:r>
      <w:r>
        <w:sym w:font="HQPB4" w:char="F0F6"/>
      </w:r>
      <w:r>
        <w:sym w:font="HQPB2" w:char="F04E"/>
      </w:r>
      <w:r>
        <w:sym w:font="HQPB4" w:char="F0E0"/>
      </w:r>
      <w:r>
        <w:sym w:font="HQPB2" w:char="F036"/>
      </w:r>
      <w:r>
        <w:sym w:font="HQPB4" w:char="F0AF"/>
      </w:r>
      <w:r>
        <w:sym w:font="HQPB2" w:char="F052"/>
      </w:r>
      <w:r>
        <w:sym w:font="HQPB4" w:char="F0CE"/>
      </w:r>
      <w:r>
        <w:sym w:font="HQPB1" w:char="F029"/>
      </w:r>
      <w:r>
        <w:rPr>
          <w:rFonts w:ascii="(normal text)" w:hAnsi="(normal text)"/>
          <w:rtl/>
        </w:rPr>
        <w:t xml:space="preserve"> </w:t>
      </w:r>
      <w:r>
        <w:sym w:font="HQPB5" w:char="F074"/>
      </w:r>
      <w:r>
        <w:sym w:font="HQPB2" w:char="F062"/>
      </w:r>
      <w:r>
        <w:sym w:font="HQPB2" w:char="F071"/>
      </w:r>
      <w:r>
        <w:sym w:font="HQPB4" w:char="F0E8"/>
      </w:r>
      <w:r>
        <w:sym w:font="HQPB1" w:char="F03F"/>
      </w:r>
      <w:r>
        <w:sym w:font="HQPB4" w:char="F0F9"/>
      </w:r>
      <w:r>
        <w:sym w:font="HQPB1" w:char="F027"/>
      </w:r>
      <w:r>
        <w:sym w:font="HQPB5" w:char="F074"/>
      </w:r>
      <w:r>
        <w:sym w:font="HQPB1" w:char="F047"/>
      </w:r>
      <w:r>
        <w:sym w:font="HQPB5" w:char="F073"/>
      </w:r>
      <w:r>
        <w:sym w:font="HQPB2" w:char="F039"/>
      </w:r>
      <w:r>
        <w:rPr>
          <w:rFonts w:ascii="(normal text)" w:hAnsi="(normal text)"/>
          <w:rtl/>
        </w:rPr>
        <w:t xml:space="preserve"> </w:t>
      </w:r>
      <w:r>
        <w:sym w:font="HQPB5" w:char="F074"/>
      </w:r>
      <w:r>
        <w:sym w:font="HQPB2" w:char="F041"/>
      </w:r>
      <w:r>
        <w:sym w:font="HQPB1" w:char="F024"/>
      </w:r>
      <w:r>
        <w:sym w:font="HQPB5" w:char="F079"/>
      </w:r>
      <w:r>
        <w:sym w:font="HQPB1" w:char="F05F"/>
      </w:r>
      <w:r>
        <w:sym w:font="HQPB4" w:char="F0CC"/>
      </w:r>
      <w:r>
        <w:sym w:font="HQPB4" w:char="F068"/>
      </w:r>
      <w:r>
        <w:sym w:font="HQPB1" w:char="F08D"/>
      </w:r>
      <w:r>
        <w:sym w:font="HQPB2" w:char="F039"/>
      </w:r>
      <w:r>
        <w:sym w:font="HQPB5" w:char="F024"/>
      </w:r>
      <w:r>
        <w:sym w:font="HQPB1" w:char="F023"/>
      </w:r>
      <w:r>
        <w:rPr>
          <w:rFonts w:ascii="(normal text)" w:hAnsi="(normal text)"/>
          <w:rtl/>
        </w:rPr>
        <w:t xml:space="preserve"> </w:t>
      </w:r>
      <w:r>
        <w:sym w:font="HQPB4" w:char="F05A"/>
      </w:r>
      <w:r>
        <w:sym w:font="HQPB2" w:char="F06F"/>
      </w:r>
      <w:r>
        <w:sym w:font="HQPB5" w:char="F075"/>
      </w:r>
      <w:r>
        <w:sym w:font="HQPB2" w:char="F071"/>
      </w:r>
      <w:r>
        <w:sym w:font="HQPB4" w:char="F0F6"/>
      </w:r>
      <w:r>
        <w:sym w:font="HQPB2" w:char="F06B"/>
      </w:r>
      <w:r>
        <w:sym w:font="HQPB5" w:char="F079"/>
      </w:r>
      <w:r>
        <w:sym w:font="HQPB1" w:char="F0AD"/>
      </w:r>
      <w:r>
        <w:rPr>
          <w:rFonts w:ascii="(normal text)" w:hAnsi="(normal text)"/>
          <w:rtl/>
        </w:rPr>
        <w:t xml:space="preserve"> </w:t>
      </w:r>
      <w:r>
        <w:sym w:font="HQPB2" w:char="F060"/>
      </w:r>
      <w:r>
        <w:sym w:font="HQPB4" w:char="F0CF"/>
      </w:r>
      <w:r>
        <w:sym w:font="HQPB4" w:char="F069"/>
      </w:r>
      <w:r>
        <w:sym w:font="HQPB2" w:char="F042"/>
      </w:r>
      <w:r>
        <w:rPr>
          <w:rFonts w:ascii="(normal text)" w:hAnsi="(normal text)"/>
          <w:rtl/>
        </w:rPr>
        <w:t xml:space="preserve"> </w:t>
      </w:r>
      <w:r>
        <w:sym w:font="HQPB4" w:char="F0C2"/>
      </w:r>
      <w:r>
        <w:sym w:font="HQPB2" w:char="F063"/>
      </w:r>
      <w:r>
        <w:sym w:font="HQPB2" w:char="F072"/>
      </w:r>
      <w:r>
        <w:sym w:font="HQPB4" w:char="F0DF"/>
      </w:r>
      <w:r>
        <w:sym w:font="HQPB1" w:char="F08A"/>
      </w:r>
      <w:r>
        <w:rPr>
          <w:rFonts w:ascii="(normal text)" w:hAnsi="(normal text)"/>
          <w:rtl/>
        </w:rPr>
        <w:t xml:space="preserve"> </w:t>
      </w:r>
      <w:r>
        <w:sym w:font="HQPB4" w:char="F0CF"/>
      </w:r>
      <w:r>
        <w:sym w:font="HQPB2" w:char="F0E4"/>
      </w:r>
      <w:r>
        <w:sym w:font="HQPB5" w:char="F021"/>
      </w:r>
      <w:r>
        <w:sym w:font="HQPB1" w:char="F024"/>
      </w:r>
      <w:r>
        <w:sym w:font="HQPB5" w:char="F07C"/>
      </w:r>
      <w:r>
        <w:sym w:font="HQPB1" w:char="F0A1"/>
      </w:r>
      <w:r>
        <w:sym w:font="HQPB4" w:char="F0CF"/>
      </w:r>
      <w:r>
        <w:sym w:font="HQPB4" w:char="F069"/>
      </w:r>
      <w:r>
        <w:sym w:font="HQPB2" w:char="F059"/>
      </w:r>
      <w:r>
        <w:sym w:font="HQPB2" w:char="F039"/>
      </w:r>
      <w:r>
        <w:sym w:font="HQPB5" w:char="F024"/>
      </w:r>
      <w:r>
        <w:sym w:font="HQPB1" w:char="F023"/>
      </w:r>
      <w:r>
        <w:rPr>
          <w:rFonts w:ascii="(normal text)" w:hAnsi="(normal text)"/>
          <w:rtl/>
        </w:rPr>
        <w:t xml:space="preserve"> </w:t>
      </w:r>
      <w:r>
        <w:sym w:font="HQPB4" w:char="F034"/>
      </w:r>
      <w:r>
        <w:rPr>
          <w:rFonts w:ascii="(normal text)" w:hAnsi="(normal text)"/>
          <w:rtl/>
        </w:rPr>
        <w:t xml:space="preserve"> </w:t>
      </w:r>
      <w:r>
        <w:sym w:font="HQPB4" w:char="F0F6"/>
      </w:r>
      <w:r>
        <w:sym w:font="HQPB2" w:char="F040"/>
      </w:r>
      <w:r>
        <w:sym w:font="HQPB5" w:char="F074"/>
      </w:r>
      <w:r>
        <w:sym w:font="HQPB1" w:char="F02F"/>
      </w:r>
      <w:r>
        <w:rPr>
          <w:rFonts w:ascii="(normal text)" w:hAnsi="(normal text)"/>
          <w:rtl/>
        </w:rPr>
        <w:t xml:space="preserve"> </w:t>
      </w:r>
      <w:r>
        <w:sym w:font="HQPB4" w:char="F0F3"/>
      </w:r>
      <w:r>
        <w:sym w:font="HQPB2" w:char="F04F"/>
      </w:r>
      <w:r>
        <w:sym w:font="HQPB4" w:char="F0E7"/>
      </w:r>
      <w:r>
        <w:sym w:font="HQPB1" w:char="F046"/>
      </w:r>
      <w:r>
        <w:sym w:font="HQPB2" w:char="F052"/>
      </w:r>
      <w:r>
        <w:sym w:font="HQPB5" w:char="F072"/>
      </w:r>
      <w:r>
        <w:sym w:font="HQPB1" w:char="F026"/>
      </w:r>
      <w:r>
        <w:rPr>
          <w:rFonts w:ascii="(normal text)" w:hAnsi="(normal text)"/>
          <w:rtl/>
        </w:rPr>
        <w:t xml:space="preserve"> </w:t>
      </w:r>
      <w:r>
        <w:sym w:font="HQPB4" w:char="F0D7"/>
      </w:r>
      <w:r>
        <w:sym w:font="HQPB2" w:char="F050"/>
      </w:r>
      <w:r>
        <w:sym w:font="HQPB4" w:char="F0F6"/>
      </w:r>
      <w:r>
        <w:sym w:font="HQPB2" w:char="F071"/>
      </w:r>
      <w:r>
        <w:sym w:font="HQPB5" w:char="F073"/>
      </w:r>
      <w:r>
        <w:sym w:font="HQPB2" w:char="F025"/>
      </w:r>
      <w:r>
        <w:rPr>
          <w:rFonts w:ascii="(normal text)" w:hAnsi="(normal text)"/>
          <w:rtl/>
        </w:rPr>
        <w:t xml:space="preserve"> </w:t>
      </w:r>
      <w:r>
        <w:sym w:font="HQPB5" w:char="F09A"/>
      </w:r>
      <w:r>
        <w:sym w:font="HQPB2" w:char="F063"/>
      </w:r>
      <w:r>
        <w:sym w:font="HQPB2" w:char="F071"/>
      </w:r>
      <w:r>
        <w:sym w:font="HQPB4" w:char="F0E8"/>
      </w:r>
      <w:r>
        <w:sym w:font="HQPB1" w:char="F0F9"/>
      </w:r>
      <w:r>
        <w:sym w:font="HQPB4" w:char="F0CC"/>
      </w:r>
      <w:r>
        <w:sym w:font="HQPB1" w:char="F08D"/>
      </w:r>
      <w:r>
        <w:sym w:font="HQPB4" w:char="F0F3"/>
      </w:r>
      <w:r>
        <w:sym w:font="HQPB1" w:char="F0A1"/>
      </w:r>
      <w:r>
        <w:sym w:font="HQPB4" w:char="F095"/>
      </w:r>
      <w:r>
        <w:sym w:font="HQPB2" w:char="F042"/>
      </w:r>
      <w:r>
        <w:rPr>
          <w:rFonts w:ascii="(normal text)" w:hAnsi="(normal text)"/>
          <w:rtl/>
        </w:rPr>
        <w:t xml:space="preserve"> </w:t>
      </w:r>
      <w:r>
        <w:sym w:font="HQPB2" w:char="F0C7"/>
      </w:r>
      <w:r>
        <w:sym w:font="HQPB2" w:char="F0D1"/>
      </w:r>
      <w:r>
        <w:sym w:font="HQPB2" w:char="F0CA"/>
      </w:r>
      <w:r>
        <w:sym w:font="HQPB2" w:char="F0C8"/>
      </w:r>
      <w:r>
        <w:rPr>
          <w:rFonts w:ascii="(normal text)" w:hAnsi="(normal text)"/>
          <w:rtl/>
        </w:rPr>
        <w:t xml:space="preserve">   </w:t>
      </w:r>
    </w:p>
    <w:p w:rsidR="00916BE3" w:rsidRDefault="00916BE3" w:rsidP="00916BE3">
      <w:pPr>
        <w:rPr>
          <w:lang w:eastAsia="zh-CN"/>
        </w:rPr>
      </w:pPr>
      <w:proofErr w:type="gramStart"/>
      <w:r>
        <w:rPr>
          <w:lang w:eastAsia="zh-CN"/>
        </w:rPr>
        <w:t>Terjemahnya :</w:t>
      </w:r>
      <w:proofErr w:type="gramEnd"/>
    </w:p>
    <w:p w:rsidR="00916BE3" w:rsidRDefault="00916BE3" w:rsidP="00916BE3">
      <w:pPr>
        <w:pStyle w:val="Heading3"/>
      </w:pPr>
      <w:r>
        <w:t>Dan (kami juga telah mengutus) Luth (kepada kaumnya). (</w:t>
      </w:r>
      <w:proofErr w:type="gramStart"/>
      <w:r>
        <w:t>ingatlah</w:t>
      </w:r>
      <w:proofErr w:type="gramEnd"/>
      <w:r>
        <w:t>) tatkala Dia berkata kepada mereka: "Mengapa kamu mengerjakan perbuatan faahisyah itu, yang belum pernah dikerjakan oleh seorangpun (di dunia ini) sebelummu?".</w:t>
      </w:r>
      <w:r>
        <w:rPr>
          <w:rStyle w:val="FootnoteReference"/>
        </w:rPr>
        <w:footnoteReference w:id="19"/>
      </w:r>
    </w:p>
    <w:p w:rsidR="00257331" w:rsidRDefault="00916BE3" w:rsidP="00CB7EE9">
      <w:r>
        <w:tab/>
      </w:r>
      <w:r w:rsidR="00257331">
        <w:t xml:space="preserve">LGBT dalam hadis Nabi juga disebutkan dalam kategori </w:t>
      </w:r>
      <w:r w:rsidR="00257331">
        <w:rPr>
          <w:i/>
          <w:iCs/>
        </w:rPr>
        <w:t>Liw</w:t>
      </w:r>
      <w:r w:rsidR="00257331">
        <w:rPr>
          <w:rFonts w:cs="Times New Roman"/>
          <w:i/>
          <w:iCs/>
        </w:rPr>
        <w:t>āṭ</w:t>
      </w:r>
      <w:r w:rsidR="00257331">
        <w:rPr>
          <w:i/>
          <w:iCs/>
        </w:rPr>
        <w:t xml:space="preserve"> </w:t>
      </w:r>
      <w:r w:rsidR="00257331">
        <w:t xml:space="preserve">yang diancam dengan hukuman bunuh </w:t>
      </w:r>
      <w:r w:rsidR="00634CDE">
        <w:t xml:space="preserve">sebagai </w:t>
      </w:r>
      <w:proofErr w:type="gramStart"/>
      <w:r w:rsidR="00634CDE">
        <w:t>berikut :</w:t>
      </w:r>
      <w:proofErr w:type="gramEnd"/>
    </w:p>
    <w:p w:rsidR="00634CDE" w:rsidRDefault="00634CDE" w:rsidP="00634CDE">
      <w:pPr>
        <w:pStyle w:val="Heading2"/>
      </w:pPr>
      <w:r>
        <w:rPr>
          <w:rtl/>
        </w:rPr>
        <w:t>حَدَّثَنَا عَبْدُ اللَّهِ بْنُ مُحَمَّدِ بْنِ عَلِيٍّ النُّفَيْلِيُّ حَدَّثَنَا عَبْدُ الْعَزِيزِ بْنُ مُحَمَّدٍ عَنْ عَمْرِو بْنِ أَبِي عَمْرٍو عَنْ عِكْرِمَةَ عَنْ ابْنِ عَبَّاسٍ قَالَ</w:t>
      </w:r>
      <w:r>
        <w:t xml:space="preserve"> </w:t>
      </w:r>
      <w:r>
        <w:rPr>
          <w:rtl/>
        </w:rPr>
        <w:t xml:space="preserve">قَالَ رَسُولُ اللَّهِ صَلَّى اللَّهُ عَلَيْهِ وَسَلَّمَ مَنْ وَجَدْتُمُوهُ يَعْمَلُ عَمَلَ قَوْمِ لُوطٍ فَاقْتُلُوا </w:t>
      </w:r>
      <w:r>
        <w:rPr>
          <w:rtl/>
        </w:rPr>
        <w:lastRenderedPageBreak/>
        <w:t>الْفَاعِلَ وَالْمَفْعُولَ بِهِ</w:t>
      </w:r>
      <w:r>
        <w:t xml:space="preserve"> </w:t>
      </w:r>
      <w:r>
        <w:rPr>
          <w:rtl/>
        </w:rPr>
        <w:t>قَالَ أَبُو دَاوُد رَوَاهُ سُلَيْمَانُ بْنُ بِلَالٍ عَنْ عَمْرِو بْنِ أَبِي عَمْرٍو مِثْلَهُ وَرَوَاهُ عَبَّادُ بْنُ مَنْصُورٍ عَنْ عِكْرِمَةَ عَنْ ابْنِ عَبَّاسٍ رَفَعَهُ وَرَوَاهُ ابْنُ جُرَيْجٍ عَنْ إِبْرَاهِيمَ عَنْ دَاوُدَ بْنِ الْحُصَيْنِ عَنْ عِكْرِمَةَ عَنْ ابْنِ عَبَّاسٍ رَفَعَهُ</w:t>
      </w:r>
      <w:r>
        <w:rPr>
          <w:rStyle w:val="FootnoteReference"/>
        </w:rPr>
        <w:footnoteReference w:id="20"/>
      </w:r>
      <w:r>
        <w:t xml:space="preserve"> .</w:t>
      </w:r>
    </w:p>
    <w:p w:rsidR="00634CDE" w:rsidRDefault="00634CDE" w:rsidP="00634CDE">
      <w:proofErr w:type="gramStart"/>
      <w:r>
        <w:t>Artinya :</w:t>
      </w:r>
      <w:proofErr w:type="gramEnd"/>
    </w:p>
    <w:p w:rsidR="00634CDE" w:rsidRPr="00634CDE" w:rsidRDefault="00634CDE" w:rsidP="00322129">
      <w:pPr>
        <w:pStyle w:val="Heading3"/>
      </w:pPr>
      <w:r>
        <w:t>Telah</w:t>
      </w:r>
      <w:r w:rsidR="004C7AEA">
        <w:t xml:space="preserve"> </w:t>
      </w:r>
      <w:r>
        <w:t>menceritakankepada kami ‘Abdull</w:t>
      </w:r>
      <w:r>
        <w:rPr>
          <w:rFonts w:cs="Times New Roman"/>
        </w:rPr>
        <w:t>ā</w:t>
      </w:r>
      <w:r>
        <w:t>h bin Mu</w:t>
      </w:r>
      <w:r>
        <w:rPr>
          <w:rFonts w:cs="Times New Roman"/>
        </w:rPr>
        <w:t>ḥ</w:t>
      </w:r>
      <w:r>
        <w:t>ammad bin ‘Ali Al- Nufail</w:t>
      </w:r>
      <w:r>
        <w:rPr>
          <w:rFonts w:cs="Times New Roman"/>
        </w:rPr>
        <w:t>ī</w:t>
      </w:r>
      <w:r>
        <w:t xml:space="preserve"> berkata, telah menceritakan kepada kami ‘Abd al-Az</w:t>
      </w:r>
      <w:r>
        <w:rPr>
          <w:rFonts w:cs="Times New Roman"/>
        </w:rPr>
        <w:t>ī</w:t>
      </w:r>
      <w:r>
        <w:t>z bin Mu</w:t>
      </w:r>
      <w:r>
        <w:rPr>
          <w:rFonts w:cs="Times New Roman"/>
        </w:rPr>
        <w:t>ḥ</w:t>
      </w:r>
      <w:r>
        <w:t>ammad dari ‘</w:t>
      </w:r>
      <w:r w:rsidR="00B56087">
        <w:t>Amru bin Ab</w:t>
      </w:r>
      <w:r w:rsidR="00B56087">
        <w:rPr>
          <w:rFonts w:cs="Times New Roman"/>
        </w:rPr>
        <w:t>ū</w:t>
      </w:r>
      <w:r>
        <w:t xml:space="preserve"> Amru</w:t>
      </w:r>
      <w:r w:rsidR="00B56087">
        <w:t xml:space="preserve"> </w:t>
      </w:r>
      <w:r>
        <w:t>dari</w:t>
      </w:r>
      <w:r w:rsidR="00B56087">
        <w:t xml:space="preserve"> </w:t>
      </w:r>
      <w:r>
        <w:t>Ikrimah</w:t>
      </w:r>
      <w:r w:rsidR="00B56087">
        <w:t xml:space="preserve"> </w:t>
      </w:r>
      <w:r>
        <w:t>dari</w:t>
      </w:r>
      <w:r w:rsidR="00B56087">
        <w:t xml:space="preserve"> Ibnu Abb</w:t>
      </w:r>
      <w:r w:rsidR="00B56087">
        <w:rPr>
          <w:rFonts w:cs="Times New Roman"/>
        </w:rPr>
        <w:t>ā</w:t>
      </w:r>
      <w:r>
        <w:t>s ia</w:t>
      </w:r>
      <w:r w:rsidR="00B56087">
        <w:t xml:space="preserve"> </w:t>
      </w:r>
      <w:r>
        <w:t xml:space="preserve">berkata, "Rasulullah </w:t>
      </w:r>
      <w:r w:rsidR="00B56087">
        <w:rPr>
          <w:rFonts w:cs="Times New Roman"/>
        </w:rPr>
        <w:t>ṣ</w:t>
      </w:r>
      <w:r>
        <w:t>allallahu 'alaihi</w:t>
      </w:r>
      <w:r w:rsidR="00B56087">
        <w:t xml:space="preserve"> </w:t>
      </w:r>
      <w:r>
        <w:t>wasallam</w:t>
      </w:r>
      <w:r w:rsidR="00B56087">
        <w:t xml:space="preserve"> </w:t>
      </w:r>
      <w:r>
        <w:t xml:space="preserve">bersabda: "Siapa yang kalian dapati sedang melakukan perbuatankaum </w:t>
      </w:r>
      <w:r w:rsidR="00B56087">
        <w:t>Lu</w:t>
      </w:r>
      <w:r w:rsidR="00B56087">
        <w:rPr>
          <w:rFonts w:cs="Times New Roman"/>
        </w:rPr>
        <w:t>ṭ</w:t>
      </w:r>
      <w:r>
        <w:t xml:space="preserve">, maka bunuhlah; pelaku dan </w:t>
      </w:r>
      <w:r w:rsidR="00B56087">
        <w:t>objeknya." Ab</w:t>
      </w:r>
      <w:r w:rsidR="00B56087">
        <w:rPr>
          <w:rFonts w:cs="Times New Roman"/>
        </w:rPr>
        <w:t>ū</w:t>
      </w:r>
      <w:r w:rsidR="00B56087">
        <w:t xml:space="preserve"> D</w:t>
      </w:r>
      <w:r w:rsidR="00B56087">
        <w:rPr>
          <w:rFonts w:cs="Times New Roman"/>
        </w:rPr>
        <w:t>ā</w:t>
      </w:r>
      <w:r>
        <w:t xml:space="preserve">wud </w:t>
      </w:r>
      <w:r w:rsidR="00B56087">
        <w:t xml:space="preserve">berkata, </w:t>
      </w:r>
      <w:proofErr w:type="gramStart"/>
      <w:r w:rsidR="00B56087">
        <w:t>" Sulaim</w:t>
      </w:r>
      <w:r w:rsidR="00B56087">
        <w:rPr>
          <w:rFonts w:cs="Times New Roman"/>
        </w:rPr>
        <w:t>ā</w:t>
      </w:r>
      <w:r w:rsidR="00B56087">
        <w:t>n</w:t>
      </w:r>
      <w:proofErr w:type="gramEnd"/>
      <w:r w:rsidR="00B56087">
        <w:t xml:space="preserve"> bin Bil</w:t>
      </w:r>
      <w:r w:rsidR="00B56087">
        <w:rPr>
          <w:rFonts w:cs="Times New Roman"/>
        </w:rPr>
        <w:t>ā</w:t>
      </w:r>
      <w:r>
        <w:t xml:space="preserve">l meriwayatkannya dari </w:t>
      </w:r>
      <w:r w:rsidR="00B56087">
        <w:t>‘Amru bin Ab</w:t>
      </w:r>
      <w:r w:rsidR="00B56087">
        <w:rPr>
          <w:rFonts w:cs="Times New Roman"/>
        </w:rPr>
        <w:t>ū</w:t>
      </w:r>
      <w:r>
        <w:t xml:space="preserve"> </w:t>
      </w:r>
      <w:r w:rsidR="00B56087">
        <w:t>‘</w:t>
      </w:r>
      <w:r>
        <w:t xml:space="preserve">Amru seperti </w:t>
      </w:r>
      <w:r w:rsidR="00B56087">
        <w:t>hadis</w:t>
      </w:r>
      <w:r>
        <w:t xml:space="preserve"> terse</w:t>
      </w:r>
      <w:r w:rsidR="00B56087">
        <w:t>but. Dan Abb</w:t>
      </w:r>
      <w:r w:rsidR="00B56087">
        <w:rPr>
          <w:rFonts w:cs="Times New Roman"/>
        </w:rPr>
        <w:t>ā</w:t>
      </w:r>
      <w:r w:rsidR="00B56087">
        <w:t>d bin Man</w:t>
      </w:r>
      <w:r w:rsidR="00B56087">
        <w:rPr>
          <w:rFonts w:cs="Times New Roman"/>
        </w:rPr>
        <w:t>ṣū</w:t>
      </w:r>
      <w:r>
        <w:t>r meriwayatkannya dari Ikrimah, dari</w:t>
      </w:r>
      <w:r w:rsidR="00B56087">
        <w:t xml:space="preserve"> </w:t>
      </w:r>
      <w:r>
        <w:t xml:space="preserve">Ibnu </w:t>
      </w:r>
      <w:r w:rsidR="00B56087">
        <w:t>‘Abb</w:t>
      </w:r>
      <w:r w:rsidR="00B56087">
        <w:rPr>
          <w:rFonts w:cs="Times New Roman"/>
        </w:rPr>
        <w:t>ā</w:t>
      </w:r>
      <w:r>
        <w:t xml:space="preserve">s, dan ia memarfu'kannya. Ibnu Juraij meriwayatkannya </w:t>
      </w:r>
      <w:r w:rsidR="00B56087">
        <w:t>dari Ibr</w:t>
      </w:r>
      <w:r w:rsidR="00B56087">
        <w:rPr>
          <w:rFonts w:cs="Times New Roman"/>
        </w:rPr>
        <w:t>ā</w:t>
      </w:r>
      <w:r>
        <w:t xml:space="preserve">him, dari </w:t>
      </w:r>
      <w:r w:rsidR="00B56087">
        <w:t>D</w:t>
      </w:r>
      <w:r w:rsidR="00B56087">
        <w:rPr>
          <w:rFonts w:cs="Times New Roman"/>
        </w:rPr>
        <w:t>ā</w:t>
      </w:r>
      <w:r w:rsidR="00B56087">
        <w:t>w</w:t>
      </w:r>
      <w:r w:rsidR="00B56087">
        <w:rPr>
          <w:rFonts w:cs="Times New Roman"/>
        </w:rPr>
        <w:t>ū</w:t>
      </w:r>
      <w:r>
        <w:t>d Ibnu</w:t>
      </w:r>
      <w:r w:rsidR="00B56087">
        <w:t xml:space="preserve"> a</w:t>
      </w:r>
      <w:r>
        <w:t>l</w:t>
      </w:r>
      <w:r w:rsidR="00C5141E">
        <w:t>-</w:t>
      </w:r>
      <w:r w:rsidR="00C5141E">
        <w:rPr>
          <w:rFonts w:cs="Times New Roman"/>
        </w:rPr>
        <w:t>Ḥ</w:t>
      </w:r>
      <w:r w:rsidR="00B56087">
        <w:t>u</w:t>
      </w:r>
      <w:r w:rsidR="00B56087">
        <w:rPr>
          <w:rFonts w:cs="Times New Roman"/>
        </w:rPr>
        <w:t>ṣ</w:t>
      </w:r>
      <w:r>
        <w:t xml:space="preserve">ain, dari Ikrimah, dari </w:t>
      </w:r>
      <w:r w:rsidR="00B56087">
        <w:t>Ibnu Abb</w:t>
      </w:r>
      <w:r w:rsidR="00B56087">
        <w:rPr>
          <w:rFonts w:cs="Times New Roman"/>
        </w:rPr>
        <w:t>ā</w:t>
      </w:r>
      <w:r>
        <w:t>s, dan ia memarfu'kannya."</w:t>
      </w:r>
    </w:p>
    <w:p w:rsidR="000D4BE2" w:rsidRDefault="000D4BE2" w:rsidP="007C3D40">
      <w:pPr>
        <w:pStyle w:val="NoSpacing"/>
        <w:rPr>
          <w:rFonts w:cs="Times New Roman"/>
        </w:rPr>
      </w:pPr>
      <w:r>
        <w:t xml:space="preserve">Sisi </w:t>
      </w:r>
      <w:proofErr w:type="gramStart"/>
      <w:r>
        <w:t>lain</w:t>
      </w:r>
      <w:proofErr w:type="gramEnd"/>
      <w:r>
        <w:t xml:space="preserve"> tentang keberadaan LGBT juga bertentangan dengan semangat </w:t>
      </w:r>
      <w:r w:rsidRPr="00011902">
        <w:rPr>
          <w:i/>
          <w:iCs/>
        </w:rPr>
        <w:t>ma</w:t>
      </w:r>
      <w:r w:rsidRPr="00011902">
        <w:rPr>
          <w:rFonts w:cs="Times New Roman"/>
          <w:i/>
          <w:iCs/>
        </w:rPr>
        <w:t>ṣlahat</w:t>
      </w:r>
      <w:r>
        <w:rPr>
          <w:rFonts w:cs="Times New Roman"/>
        </w:rPr>
        <w:t xml:space="preserve"> dalam hukum Islam. </w:t>
      </w:r>
      <w:proofErr w:type="gramStart"/>
      <w:r w:rsidRPr="00011902">
        <w:rPr>
          <w:rFonts w:cs="Times New Roman"/>
          <w:i/>
          <w:iCs/>
        </w:rPr>
        <w:t>Maṣlahat</w:t>
      </w:r>
      <w:r>
        <w:rPr>
          <w:rFonts w:cs="Times New Roman"/>
        </w:rPr>
        <w:t xml:space="preserve"> yang menjadi titik tumpu berlakunya dalil akal </w:t>
      </w:r>
      <w:r w:rsidR="00367EF6">
        <w:rPr>
          <w:rFonts w:cs="Times New Roman"/>
        </w:rPr>
        <w:t xml:space="preserve">menganjurkan perlindungan terhadap </w:t>
      </w:r>
      <w:r w:rsidR="005562FB">
        <w:rPr>
          <w:rFonts w:cs="Times New Roman"/>
        </w:rPr>
        <w:t>keturunan.</w:t>
      </w:r>
      <w:proofErr w:type="gramEnd"/>
      <w:r w:rsidR="005562FB">
        <w:rPr>
          <w:rFonts w:cs="Times New Roman"/>
        </w:rPr>
        <w:t xml:space="preserve"> </w:t>
      </w:r>
      <w:proofErr w:type="gramStart"/>
      <w:r w:rsidR="004C7AEA">
        <w:rPr>
          <w:rFonts w:cs="Times New Roman"/>
        </w:rPr>
        <w:t>A</w:t>
      </w:r>
      <w:r w:rsidR="005562FB">
        <w:rPr>
          <w:rFonts w:cs="Times New Roman"/>
        </w:rPr>
        <w:t>spek pencegahan terhadap manusia dari kerusakan dalam hidupnya merupaka</w:t>
      </w:r>
      <w:r w:rsidR="00011902">
        <w:rPr>
          <w:rFonts w:cs="Times New Roman"/>
        </w:rPr>
        <w:t>n</w:t>
      </w:r>
      <w:r w:rsidR="005562FB">
        <w:rPr>
          <w:rFonts w:cs="Times New Roman"/>
        </w:rPr>
        <w:t xml:space="preserve"> salah satu bagian dari </w:t>
      </w:r>
      <w:r w:rsidR="005562FB">
        <w:rPr>
          <w:rFonts w:cs="Times New Roman"/>
          <w:i/>
          <w:iCs/>
        </w:rPr>
        <w:t xml:space="preserve">maqāṣid al-syarī’ah </w:t>
      </w:r>
      <w:r w:rsidR="005562FB">
        <w:rPr>
          <w:rFonts w:cs="Times New Roman"/>
        </w:rPr>
        <w:t>(tujuan diturunkannya syariat) yaitu terciptanya kemaslahatan bagi manusia pada dua alam (dunia dan akhirat).</w:t>
      </w:r>
      <w:proofErr w:type="gramEnd"/>
      <w:r w:rsidR="005562FB">
        <w:rPr>
          <w:rStyle w:val="FootnoteReference"/>
          <w:rFonts w:cs="Times New Roman"/>
        </w:rPr>
        <w:footnoteReference w:id="21"/>
      </w:r>
      <w:r w:rsidR="00291F5A">
        <w:rPr>
          <w:rFonts w:cs="Times New Roman"/>
        </w:rPr>
        <w:t xml:space="preserve"> Kemaslahatan manusia agar terhindar dari kerusakan merupakan tonggak utama dari tujuan diturunkannya syari’at.  </w:t>
      </w:r>
      <w:proofErr w:type="gramStart"/>
      <w:r w:rsidR="007C3D40">
        <w:rPr>
          <w:rFonts w:cs="Times New Roman"/>
        </w:rPr>
        <w:t>M</w:t>
      </w:r>
      <w:r w:rsidR="00291F5A">
        <w:rPr>
          <w:rFonts w:cs="Times New Roman"/>
        </w:rPr>
        <w:t xml:space="preserve">anusia </w:t>
      </w:r>
      <w:r w:rsidR="00467E01">
        <w:rPr>
          <w:rFonts w:cs="Times New Roman"/>
        </w:rPr>
        <w:t>sejak awal telah dianugerahi akal guna mengelola segala m</w:t>
      </w:r>
      <w:r w:rsidR="000E3017">
        <w:rPr>
          <w:rFonts w:cs="Times New Roman"/>
        </w:rPr>
        <w:t>a</w:t>
      </w:r>
      <w:r w:rsidR="00467E01">
        <w:rPr>
          <w:rFonts w:cs="Times New Roman"/>
        </w:rPr>
        <w:t>cam informasi yang bersumber dari wahyu.</w:t>
      </w:r>
      <w:proofErr w:type="gramEnd"/>
      <w:r w:rsidR="005366F5">
        <w:rPr>
          <w:rStyle w:val="FootnoteReference"/>
          <w:rFonts w:cs="Times New Roman"/>
        </w:rPr>
        <w:footnoteReference w:id="22"/>
      </w:r>
    </w:p>
    <w:p w:rsidR="000E3017" w:rsidRDefault="000E3017" w:rsidP="000E3017">
      <w:pPr>
        <w:pStyle w:val="NoSpacing"/>
        <w:ind w:firstLine="0"/>
        <w:rPr>
          <w:rFonts w:cs="Times New Roman"/>
          <w:b/>
          <w:bCs w:val="0"/>
          <w:i/>
          <w:iCs/>
        </w:rPr>
      </w:pPr>
    </w:p>
    <w:p w:rsidR="00322129" w:rsidRPr="002A10EB" w:rsidRDefault="00322129" w:rsidP="000E3017">
      <w:pPr>
        <w:pStyle w:val="NoSpacing"/>
        <w:ind w:firstLine="0"/>
        <w:rPr>
          <w:rFonts w:cs="Times New Roman"/>
          <w:b/>
          <w:bCs w:val="0"/>
        </w:rPr>
      </w:pPr>
      <w:r>
        <w:rPr>
          <w:rFonts w:cs="Times New Roman"/>
          <w:b/>
          <w:bCs w:val="0"/>
          <w:i/>
          <w:iCs/>
        </w:rPr>
        <w:lastRenderedPageBreak/>
        <w:t>L</w:t>
      </w:r>
      <w:r w:rsidR="002A10EB">
        <w:rPr>
          <w:rFonts w:cs="Times New Roman"/>
          <w:b/>
          <w:bCs w:val="0"/>
          <w:i/>
          <w:iCs/>
        </w:rPr>
        <w:t>GBT dalam Pandangan Hukum di Indonesia</w:t>
      </w:r>
    </w:p>
    <w:p w:rsidR="00805293" w:rsidRDefault="00CA455B" w:rsidP="00B37476">
      <w:pPr>
        <w:pStyle w:val="NoSpacing"/>
        <w:ind w:firstLine="720"/>
        <w:rPr>
          <w:rFonts w:cs="Times New Roman"/>
        </w:rPr>
      </w:pPr>
      <w:r>
        <w:rPr>
          <w:rFonts w:cs="Times New Roman"/>
        </w:rPr>
        <w:t xml:space="preserve">Sebuah  penelitian terbaru di Jakarta yang dilaksanakan oleh Gadis Arivia dan Dewi Ganis menyimpulan bahwa ada empat faktor yang membuat perilaku LGBT </w:t>
      </w:r>
      <w:r w:rsidR="00C1650D">
        <w:rPr>
          <w:rFonts w:cs="Times New Roman"/>
        </w:rPr>
        <w:t>mendapatkan diskriminasi; P</w:t>
      </w:r>
      <w:r w:rsidR="00B37476">
        <w:rPr>
          <w:rFonts w:cs="Times New Roman"/>
        </w:rPr>
        <w:t>ertama</w:t>
      </w:r>
      <w:r w:rsidR="00C1650D">
        <w:rPr>
          <w:rFonts w:cs="Times New Roman"/>
        </w:rPr>
        <w:t>,</w:t>
      </w:r>
      <w:r w:rsidR="00B37476">
        <w:rPr>
          <w:rFonts w:cs="Times New Roman"/>
        </w:rPr>
        <w:t xml:space="preserve"> bahwa kebanyakan orang percaya bahwa hubungan </w:t>
      </w:r>
      <w:r w:rsidR="00C1650D">
        <w:rPr>
          <w:rFonts w:cs="Times New Roman"/>
        </w:rPr>
        <w:t>sesama</w:t>
      </w:r>
      <w:r w:rsidR="00B37476">
        <w:rPr>
          <w:rFonts w:cs="Times New Roman"/>
        </w:rPr>
        <w:t xml:space="preserve"> adalah sesua</w:t>
      </w:r>
      <w:r w:rsidR="00C1650D">
        <w:rPr>
          <w:rFonts w:cs="Times New Roman"/>
        </w:rPr>
        <w:t>tu yang dilarang oleh Agama; K</w:t>
      </w:r>
      <w:r w:rsidR="00B37476">
        <w:rPr>
          <w:rFonts w:cs="Times New Roman"/>
        </w:rPr>
        <w:t xml:space="preserve">edua banyak orang </w:t>
      </w:r>
      <w:r w:rsidR="00C1650D">
        <w:rPr>
          <w:rFonts w:cs="Times New Roman"/>
        </w:rPr>
        <w:t>percaya bahwa perilaku LGBT meru</w:t>
      </w:r>
      <w:r w:rsidR="00B37476">
        <w:rPr>
          <w:rFonts w:cs="Times New Roman"/>
        </w:rPr>
        <w:t>pakan sebuah gaya hidup yang dapat dihindari dan pelakunya dianggap sebagai orang yang bertindak bodoh dan oleh karen</w:t>
      </w:r>
      <w:r w:rsidR="00C1650D">
        <w:rPr>
          <w:rFonts w:cs="Times New Roman"/>
        </w:rPr>
        <w:t>an</w:t>
      </w:r>
      <w:r w:rsidR="00B37476">
        <w:rPr>
          <w:rFonts w:cs="Times New Roman"/>
        </w:rPr>
        <w:t>ya, perilaku ini tak perlu mendapat perlindungan hak azasi; Ketiga</w:t>
      </w:r>
      <w:r w:rsidR="00C1650D">
        <w:rPr>
          <w:rFonts w:cs="Times New Roman"/>
        </w:rPr>
        <w:t>,</w:t>
      </w:r>
      <w:r w:rsidR="00B37476">
        <w:rPr>
          <w:rFonts w:cs="Times New Roman"/>
        </w:rPr>
        <w:t xml:space="preserve"> karena LGBT merupakan gaya hidup glamor, maka tidak didapati pelakunya berasal dari kalangan miskin dan Keempat</w:t>
      </w:r>
      <w:r w:rsidR="00C1650D">
        <w:rPr>
          <w:rFonts w:cs="Times New Roman"/>
        </w:rPr>
        <w:t>,</w:t>
      </w:r>
      <w:r w:rsidR="00B37476">
        <w:rPr>
          <w:rFonts w:cs="Times New Roman"/>
        </w:rPr>
        <w:t xml:space="preserve"> pelaku LGBT tidak ingin perilaku mereka terbongkar ke khalayak umum, sehingga mereka cenderung menutup diri dan merahasiakan kecenderungan seksualitas mereka.</w:t>
      </w:r>
      <w:r w:rsidR="00B37476">
        <w:rPr>
          <w:rStyle w:val="FootnoteReference"/>
          <w:rFonts w:cs="Times New Roman"/>
        </w:rPr>
        <w:footnoteReference w:id="23"/>
      </w:r>
      <w:r>
        <w:rPr>
          <w:rFonts w:cs="Times New Roman"/>
        </w:rPr>
        <w:t xml:space="preserve"> </w:t>
      </w:r>
    </w:p>
    <w:p w:rsidR="002A10EB" w:rsidRDefault="008E43C3" w:rsidP="00ED62F8">
      <w:pPr>
        <w:pStyle w:val="NoSpacing"/>
        <w:ind w:firstLine="720"/>
        <w:rPr>
          <w:rFonts w:cs="Times New Roman"/>
        </w:rPr>
      </w:pPr>
      <w:r>
        <w:rPr>
          <w:rFonts w:cs="Times New Roman"/>
        </w:rPr>
        <w:t xml:space="preserve">LGBT merupakan bagian yang tak kalah penting dari Hak Azasi </w:t>
      </w:r>
      <w:r w:rsidR="00357A03">
        <w:rPr>
          <w:rFonts w:cs="Times New Roman"/>
        </w:rPr>
        <w:t xml:space="preserve">manusia </w:t>
      </w:r>
      <w:r>
        <w:rPr>
          <w:rFonts w:cs="Times New Roman"/>
        </w:rPr>
        <w:t xml:space="preserve">Universal </w:t>
      </w:r>
      <w:r w:rsidR="00357A03">
        <w:rPr>
          <w:rFonts w:cs="Times New Roman"/>
        </w:rPr>
        <w:t>(selanjutnya disebut HAM Univesal</w:t>
      </w:r>
      <w:r w:rsidR="000E3017">
        <w:rPr>
          <w:rFonts w:cs="Times New Roman"/>
        </w:rPr>
        <w:t xml:space="preserve"> dalam Universal Declaration of Human Roght</w:t>
      </w:r>
      <w:r w:rsidR="00357A03">
        <w:rPr>
          <w:rFonts w:cs="Times New Roman"/>
        </w:rPr>
        <w:t xml:space="preserve">) </w:t>
      </w:r>
      <w:r>
        <w:rPr>
          <w:rFonts w:cs="Times New Roman"/>
        </w:rPr>
        <w:t xml:space="preserve">dan terkadang bertentangan dengan budaya lokal yang lahir dari pemahaman </w:t>
      </w:r>
      <w:proofErr w:type="gramStart"/>
      <w:r>
        <w:rPr>
          <w:rFonts w:cs="Times New Roman"/>
        </w:rPr>
        <w:t>beragama</w:t>
      </w:r>
      <w:r w:rsidR="00357A03">
        <w:rPr>
          <w:rFonts w:cs="Times New Roman"/>
        </w:rPr>
        <w:t xml:space="preserve">  (</w:t>
      </w:r>
      <w:proofErr w:type="gramEnd"/>
      <w:r w:rsidR="00357A03">
        <w:rPr>
          <w:rFonts w:cs="Times New Roman"/>
        </w:rPr>
        <w:t>selanjutnya disebut HAM Parsial)</w:t>
      </w:r>
      <w:r>
        <w:rPr>
          <w:rFonts w:cs="Times New Roman"/>
        </w:rPr>
        <w:t xml:space="preserve">. Pertentangan antara </w:t>
      </w:r>
      <w:r w:rsidR="00357A03">
        <w:rPr>
          <w:rFonts w:cs="Times New Roman"/>
        </w:rPr>
        <w:t>HAM Universal</w:t>
      </w:r>
      <w:r>
        <w:rPr>
          <w:rFonts w:cs="Times New Roman"/>
        </w:rPr>
        <w:t xml:space="preserve"> </w:t>
      </w:r>
      <w:r w:rsidR="00357A03">
        <w:rPr>
          <w:rFonts w:cs="Times New Roman"/>
        </w:rPr>
        <w:t xml:space="preserve">dan HAM </w:t>
      </w:r>
      <w:r>
        <w:rPr>
          <w:rFonts w:cs="Times New Roman"/>
        </w:rPr>
        <w:t xml:space="preserve">Parsial melahirkan konflik hukum dan mendikotomikan </w:t>
      </w:r>
      <w:r w:rsidR="00357A03">
        <w:rPr>
          <w:rFonts w:cs="Times New Roman"/>
        </w:rPr>
        <w:t xml:space="preserve">LGBT pada aspek hukum dasar. Kenyataan ini adalah sebuah keniscayaan mengingat dua kutub kepentingan tersebut </w:t>
      </w:r>
      <w:proofErr w:type="gramStart"/>
      <w:r w:rsidR="00357A03">
        <w:rPr>
          <w:rFonts w:cs="Times New Roman"/>
        </w:rPr>
        <w:t>akan</w:t>
      </w:r>
      <w:proofErr w:type="gramEnd"/>
      <w:r w:rsidR="00357A03">
        <w:rPr>
          <w:rFonts w:cs="Times New Roman"/>
        </w:rPr>
        <w:t xml:space="preserve"> beradu ketika membicarakan Hak Azasi Universal. Bagi Abdullah</w:t>
      </w:r>
      <w:r w:rsidR="00230CD4">
        <w:rPr>
          <w:rFonts w:cs="Times New Roman"/>
        </w:rPr>
        <w:t>i</w:t>
      </w:r>
      <w:r w:rsidR="00357A03">
        <w:rPr>
          <w:rFonts w:cs="Times New Roman"/>
        </w:rPr>
        <w:t xml:space="preserve"> Ahmad </w:t>
      </w:r>
      <w:r w:rsidR="00230CD4">
        <w:rPr>
          <w:rFonts w:cs="Times New Roman"/>
        </w:rPr>
        <w:t>an-</w:t>
      </w:r>
      <w:r w:rsidR="00357A03">
        <w:rPr>
          <w:rFonts w:cs="Times New Roman"/>
        </w:rPr>
        <w:t xml:space="preserve">Na’im pertentangan antara </w:t>
      </w:r>
      <w:r w:rsidR="008D7DDE">
        <w:rPr>
          <w:rFonts w:cs="Times New Roman"/>
        </w:rPr>
        <w:t>HAM</w:t>
      </w:r>
      <w:r w:rsidR="00357A03">
        <w:rPr>
          <w:rFonts w:cs="Times New Roman"/>
        </w:rPr>
        <w:t xml:space="preserve"> Universal dan  </w:t>
      </w:r>
      <w:r w:rsidR="00805293">
        <w:rPr>
          <w:rFonts w:cs="Times New Roman"/>
        </w:rPr>
        <w:t xml:space="preserve"> </w:t>
      </w:r>
      <w:r w:rsidR="00357A03">
        <w:rPr>
          <w:rFonts w:cs="Times New Roman"/>
        </w:rPr>
        <w:t>H</w:t>
      </w:r>
      <w:r w:rsidR="00F92D98">
        <w:rPr>
          <w:rFonts w:cs="Times New Roman"/>
        </w:rPr>
        <w:t>AM Parsial akan tetap terja</w:t>
      </w:r>
      <w:r w:rsidR="00357A03">
        <w:rPr>
          <w:rFonts w:cs="Times New Roman"/>
        </w:rPr>
        <w:t xml:space="preserve">di </w:t>
      </w:r>
      <w:r w:rsidR="0067113C">
        <w:rPr>
          <w:rFonts w:cs="Times New Roman"/>
        </w:rPr>
        <w:t>dan</w:t>
      </w:r>
      <w:r w:rsidR="00357A03">
        <w:rPr>
          <w:rFonts w:cs="Times New Roman"/>
        </w:rPr>
        <w:t xml:space="preserve"> masing-masing akan melahirkan HAM Parsial yang bersumber dari norma-norma dari kepercayaan dan budaya setempat.</w:t>
      </w:r>
      <w:r w:rsidR="00ED62F8">
        <w:rPr>
          <w:rStyle w:val="FootnoteReference"/>
          <w:rFonts w:cs="Times New Roman"/>
        </w:rPr>
        <w:footnoteReference w:id="24"/>
      </w:r>
      <w:r w:rsidR="00F92D98">
        <w:rPr>
          <w:rFonts w:cs="Times New Roman"/>
        </w:rPr>
        <w:t xml:space="preserve"> Dalam </w:t>
      </w:r>
      <w:r w:rsidR="00F92D98">
        <w:rPr>
          <w:rFonts w:cs="Times New Roman"/>
        </w:rPr>
        <w:lastRenderedPageBreak/>
        <w:t xml:space="preserve">konteks ini, Hukum Islam mewakili HAM </w:t>
      </w:r>
      <w:proofErr w:type="gramStart"/>
      <w:r w:rsidR="00F92D98">
        <w:rPr>
          <w:rFonts w:cs="Times New Roman"/>
        </w:rPr>
        <w:t xml:space="preserve">Parsial  </w:t>
      </w:r>
      <w:r w:rsidR="00634C83">
        <w:rPr>
          <w:rFonts w:cs="Times New Roman"/>
        </w:rPr>
        <w:t>dengan</w:t>
      </w:r>
      <w:proofErr w:type="gramEnd"/>
      <w:r w:rsidR="00634C83">
        <w:rPr>
          <w:rFonts w:cs="Times New Roman"/>
        </w:rPr>
        <w:t xml:space="preserve"> tegas menolak eksistensi LGBT dan menjadikan perbuatan ini sebagai perbuatan yang diharamkan dan dianggap sebagai perbuatan keji. </w:t>
      </w:r>
    </w:p>
    <w:p w:rsidR="00634C83" w:rsidRDefault="00634C83" w:rsidP="006C38CD">
      <w:pPr>
        <w:pStyle w:val="NoSpacing"/>
        <w:ind w:firstLine="720"/>
        <w:rPr>
          <w:rFonts w:cs="Times New Roman"/>
        </w:rPr>
      </w:pPr>
      <w:r>
        <w:rPr>
          <w:rFonts w:cs="Times New Roman"/>
        </w:rPr>
        <w:t>Dikotomi hukum dasar yang melingkupi LGBT melahirkan keraguan mendasar dalam menetapkan hukum-hukum dasar tentang pelarangannya di Indonesia</w:t>
      </w:r>
      <w:r w:rsidR="008D7DDE">
        <w:rPr>
          <w:rFonts w:cs="Times New Roman"/>
        </w:rPr>
        <w:t>, meski Indonesia tidak sepenuhnya mengakui HAM Universal namun tidak sepenuhnya menerima hal tersebut mengingat Indonesia memiliki persepsi yang berbeda tentang HAM Universal.</w:t>
      </w:r>
      <w:r w:rsidR="008D7DDE">
        <w:rPr>
          <w:rStyle w:val="FootnoteReference"/>
          <w:rFonts w:cs="Times New Roman"/>
        </w:rPr>
        <w:footnoteReference w:id="25"/>
      </w:r>
      <w:r w:rsidR="005B1FEA">
        <w:rPr>
          <w:rFonts w:cs="Times New Roman"/>
        </w:rPr>
        <w:t xml:space="preserve"> Ungkapan ini sangat mendasar sebab Indonesia adalah Negara yang meratifkasi HAM Parsial dalam Deklarasi Kairo pada tahun 1990. </w:t>
      </w:r>
      <w:r w:rsidR="004859F3">
        <w:rPr>
          <w:rFonts w:cs="Times New Roman"/>
        </w:rPr>
        <w:t>Inti dari Deklarasi Kairo adalah pengakuan Hak-Hak Azasi Manusia secara universal dikaitkan dengan nilai-nilai yang bersumber dari ajaran Islam, sehingga dalam kasus tertentu akan terjadi kesenjangan antara keduanya, terutama ketika berbicara tentang perpindahan agama</w:t>
      </w:r>
      <w:r w:rsidR="0063364D">
        <w:rPr>
          <w:rFonts w:cs="Times New Roman"/>
        </w:rPr>
        <w:t xml:space="preserve"> dan larangan bagi wanita muslim untuk menikahi laki-laki non muslim.</w:t>
      </w:r>
      <w:r w:rsidR="002C6962">
        <w:rPr>
          <w:rStyle w:val="FootnoteReference"/>
          <w:rFonts w:cs="Times New Roman"/>
        </w:rPr>
        <w:footnoteReference w:id="26"/>
      </w:r>
      <w:r w:rsidR="002C6962">
        <w:rPr>
          <w:rStyle w:val="FootnoteReference"/>
          <w:rFonts w:cs="Times New Roman"/>
        </w:rPr>
        <w:t xml:space="preserve"> </w:t>
      </w:r>
      <w:r w:rsidR="002C6962">
        <w:rPr>
          <w:rFonts w:cs="Times New Roman"/>
        </w:rPr>
        <w:t xml:space="preserve"> </w:t>
      </w:r>
      <w:proofErr w:type="gramStart"/>
      <w:r w:rsidR="0063364D">
        <w:rPr>
          <w:rFonts w:cs="Times New Roman"/>
        </w:rPr>
        <w:t>Dikotomi dalam HAM Universal dan HAM Parsial telah memberi pengaruh kuat pada sikap pemerintah Republik Indonesia dalam menetapkan hukum dasar tentang LGBT di Indonesia.</w:t>
      </w:r>
      <w:proofErr w:type="gramEnd"/>
      <w:r w:rsidR="0063364D">
        <w:rPr>
          <w:rFonts w:cs="Times New Roman"/>
        </w:rPr>
        <w:t xml:space="preserve"> </w:t>
      </w:r>
    </w:p>
    <w:p w:rsidR="001F15B8" w:rsidRPr="001F15B8" w:rsidRDefault="001F15B8" w:rsidP="0063364D">
      <w:pPr>
        <w:pStyle w:val="NoSpacing"/>
        <w:ind w:firstLine="720"/>
        <w:rPr>
          <w:rFonts w:asciiTheme="majorBidi" w:hAnsiTheme="majorBidi" w:cstheme="majorBidi"/>
        </w:rPr>
      </w:pPr>
      <w:proofErr w:type="gramStart"/>
      <w:r>
        <w:rPr>
          <w:rFonts w:asciiTheme="majorBidi" w:hAnsiTheme="majorBidi" w:cstheme="majorBidi"/>
        </w:rPr>
        <w:t>Berbagai upaya telah dilakukan untuk membendung laju pertumbuhan LGBT di Indonesia, namun perilaku LGBT tetap bertumbuh.</w:t>
      </w:r>
      <w:proofErr w:type="gramEnd"/>
      <w:r>
        <w:rPr>
          <w:rFonts w:asciiTheme="majorBidi" w:hAnsiTheme="majorBidi" w:cstheme="majorBidi"/>
        </w:rPr>
        <w:t xml:space="preserve"> </w:t>
      </w:r>
      <w:proofErr w:type="gramStart"/>
      <w:r>
        <w:rPr>
          <w:rFonts w:asciiTheme="majorBidi" w:hAnsiTheme="majorBidi" w:cstheme="majorBidi"/>
        </w:rPr>
        <w:t>Bahkan di Aceh upaya meminimalisir pelaku LGBT dilakukan dengan pendekatan pencegahan melalui sosialisasi kepada masyarakat.</w:t>
      </w:r>
      <w:proofErr w:type="gramEnd"/>
      <w:r>
        <w:rPr>
          <w:rFonts w:asciiTheme="majorBidi" w:hAnsiTheme="majorBidi" w:cstheme="majorBidi"/>
        </w:rPr>
        <w:t xml:space="preserve"> Menurut Putri Keumala, pemerintah daerah melalui </w:t>
      </w:r>
      <w:r>
        <w:rPr>
          <w:rFonts w:asciiTheme="majorBidi" w:hAnsiTheme="majorBidi" w:cstheme="majorBidi"/>
          <w:i/>
          <w:iCs/>
        </w:rPr>
        <w:t xml:space="preserve">wilayatul hisba </w:t>
      </w:r>
      <w:r>
        <w:rPr>
          <w:rFonts w:asciiTheme="majorBidi" w:hAnsiTheme="majorBidi" w:cstheme="majorBidi"/>
        </w:rPr>
        <w:t xml:space="preserve">telah melakukan upaya maksimal membendung laju LGBT dan faktanya, terindikasi pelaku LGBT di Aceh masih berada di atas 500 orang. </w:t>
      </w:r>
      <w:proofErr w:type="gramStart"/>
      <w:r>
        <w:rPr>
          <w:rFonts w:asciiTheme="majorBidi" w:hAnsiTheme="majorBidi" w:cstheme="majorBidi"/>
        </w:rPr>
        <w:t xml:space="preserve">Meski </w:t>
      </w:r>
      <w:r>
        <w:rPr>
          <w:rFonts w:asciiTheme="majorBidi" w:hAnsiTheme="majorBidi" w:cstheme="majorBidi"/>
        </w:rPr>
        <w:lastRenderedPageBreak/>
        <w:t xml:space="preserve">telah terjadi hukuman cambuk kepada pelaku, namun hukuman ini tidak </w:t>
      </w:r>
      <w:r w:rsidR="00E21E35">
        <w:rPr>
          <w:rFonts w:asciiTheme="majorBidi" w:hAnsiTheme="majorBidi" w:cstheme="majorBidi"/>
        </w:rPr>
        <w:t xml:space="preserve">lantas </w:t>
      </w:r>
      <w:r>
        <w:rPr>
          <w:rFonts w:asciiTheme="majorBidi" w:hAnsiTheme="majorBidi" w:cstheme="majorBidi"/>
        </w:rPr>
        <w:t>memudarkan perilaku LGBT.</w:t>
      </w:r>
      <w:proofErr w:type="gramEnd"/>
      <w:r>
        <w:rPr>
          <w:rStyle w:val="FootnoteReference"/>
          <w:rFonts w:asciiTheme="majorBidi" w:hAnsiTheme="majorBidi" w:cstheme="majorBidi"/>
        </w:rPr>
        <w:footnoteReference w:id="27"/>
      </w:r>
    </w:p>
    <w:p w:rsidR="00BE2946" w:rsidRDefault="0063364D" w:rsidP="00BE2946">
      <w:pPr>
        <w:pStyle w:val="NoSpacing"/>
        <w:ind w:firstLine="720"/>
        <w:rPr>
          <w:rFonts w:asciiTheme="majorBidi" w:hAnsiTheme="majorBidi" w:cstheme="majorBidi"/>
          <w:color w:val="333333"/>
          <w:spacing w:val="2"/>
        </w:rPr>
      </w:pPr>
      <w:r w:rsidRPr="0063364D">
        <w:rPr>
          <w:rFonts w:asciiTheme="majorBidi" w:hAnsiTheme="majorBidi" w:cstheme="majorBidi"/>
        </w:rPr>
        <w:t xml:space="preserve">Rancangan </w:t>
      </w:r>
      <w:r w:rsidRPr="0063364D">
        <w:rPr>
          <w:rFonts w:asciiTheme="majorBidi" w:hAnsiTheme="majorBidi" w:cstheme="majorBidi"/>
          <w:color w:val="333333"/>
          <w:spacing w:val="2"/>
        </w:rPr>
        <w:t>Kitab Undang-undang Hukum Pidana (RKUHP)</w:t>
      </w:r>
      <w:r>
        <w:rPr>
          <w:rFonts w:asciiTheme="majorBidi" w:hAnsiTheme="majorBidi" w:cstheme="majorBidi"/>
          <w:color w:val="333333"/>
          <w:spacing w:val="2"/>
        </w:rPr>
        <w:t xml:space="preserve"> telah memasukkan LGBT dalam tindak pidana perbuatan cabul sebagaimana dikemukakan </w:t>
      </w:r>
      <w:proofErr w:type="gramStart"/>
      <w:r>
        <w:rPr>
          <w:rFonts w:asciiTheme="majorBidi" w:hAnsiTheme="majorBidi" w:cstheme="majorBidi"/>
          <w:color w:val="333333"/>
          <w:spacing w:val="2"/>
        </w:rPr>
        <w:t xml:space="preserve">oleh  </w:t>
      </w:r>
      <w:r w:rsidRPr="0063364D">
        <w:rPr>
          <w:rFonts w:asciiTheme="majorBidi" w:hAnsiTheme="majorBidi" w:cstheme="majorBidi"/>
          <w:color w:val="333333"/>
          <w:spacing w:val="2"/>
        </w:rPr>
        <w:t>Bambang</w:t>
      </w:r>
      <w:proofErr w:type="gramEnd"/>
      <w:r>
        <w:rPr>
          <w:rFonts w:asciiTheme="majorBidi" w:hAnsiTheme="majorBidi" w:cstheme="majorBidi"/>
          <w:color w:val="333333"/>
          <w:spacing w:val="2"/>
        </w:rPr>
        <w:t xml:space="preserve"> </w:t>
      </w:r>
      <w:r w:rsidRPr="0063364D">
        <w:rPr>
          <w:rFonts w:asciiTheme="majorBidi" w:hAnsiTheme="majorBidi" w:cstheme="majorBidi"/>
          <w:color w:val="333333"/>
          <w:spacing w:val="2"/>
        </w:rPr>
        <w:t xml:space="preserve">Soetsatyo dalam pasal 495 RKUHP, sudah disepakati bahwa LGBT masuk dalam tindakan pidana perbuatan cabul sesama jenis dan negara </w:t>
      </w:r>
      <w:r>
        <w:rPr>
          <w:rFonts w:asciiTheme="majorBidi" w:hAnsiTheme="majorBidi" w:cstheme="majorBidi"/>
          <w:color w:val="333333"/>
          <w:spacing w:val="2"/>
        </w:rPr>
        <w:t>berkewajiban untuk mengaturnya.</w:t>
      </w:r>
      <w:r>
        <w:rPr>
          <w:rStyle w:val="FootnoteReference"/>
          <w:rFonts w:asciiTheme="majorBidi" w:hAnsiTheme="majorBidi" w:cstheme="majorBidi"/>
          <w:color w:val="333333"/>
          <w:spacing w:val="2"/>
        </w:rPr>
        <w:footnoteReference w:id="28"/>
      </w:r>
      <w:r>
        <w:rPr>
          <w:rFonts w:asciiTheme="majorBidi" w:hAnsiTheme="majorBidi" w:cstheme="majorBidi"/>
          <w:color w:val="333333"/>
          <w:spacing w:val="2"/>
        </w:rPr>
        <w:t xml:space="preserve"> </w:t>
      </w:r>
      <w:r w:rsidR="00602792">
        <w:rPr>
          <w:rFonts w:asciiTheme="majorBidi" w:hAnsiTheme="majorBidi" w:cstheme="majorBidi"/>
          <w:color w:val="333333"/>
          <w:spacing w:val="2"/>
        </w:rPr>
        <w:t xml:space="preserve">Dalam hal ini pihak DPR telah mengadakan kesepakatan dengan MUI dalam hal LGBT, namun mereka kemudian berbeda pendapat dalam hal batas </w:t>
      </w:r>
      <w:proofErr w:type="gramStart"/>
      <w:r w:rsidR="00602792">
        <w:rPr>
          <w:rFonts w:asciiTheme="majorBidi" w:hAnsiTheme="majorBidi" w:cstheme="majorBidi"/>
          <w:color w:val="333333"/>
          <w:spacing w:val="2"/>
        </w:rPr>
        <w:t>usia</w:t>
      </w:r>
      <w:proofErr w:type="gramEnd"/>
      <w:r w:rsidR="00602792">
        <w:rPr>
          <w:rFonts w:asciiTheme="majorBidi" w:hAnsiTheme="majorBidi" w:cstheme="majorBidi"/>
          <w:color w:val="333333"/>
          <w:spacing w:val="2"/>
        </w:rPr>
        <w:t xml:space="preserve"> di bawah 18 yang menjadi dasar pengenaan pidana pada RKUHP. MUI berpandangan bahwa batas </w:t>
      </w:r>
      <w:proofErr w:type="gramStart"/>
      <w:r w:rsidR="00602792">
        <w:rPr>
          <w:rFonts w:asciiTheme="majorBidi" w:hAnsiTheme="majorBidi" w:cstheme="majorBidi"/>
          <w:color w:val="333333"/>
          <w:spacing w:val="2"/>
        </w:rPr>
        <w:t>usia</w:t>
      </w:r>
      <w:proofErr w:type="gramEnd"/>
      <w:r w:rsidR="00602792">
        <w:rPr>
          <w:rFonts w:asciiTheme="majorBidi" w:hAnsiTheme="majorBidi" w:cstheme="majorBidi"/>
          <w:color w:val="333333"/>
          <w:spacing w:val="2"/>
        </w:rPr>
        <w:t xml:space="preserve"> seharusnya tidak ada dalam r</w:t>
      </w:r>
      <w:r w:rsidR="001F15B8">
        <w:rPr>
          <w:rFonts w:asciiTheme="majorBidi" w:hAnsiTheme="majorBidi" w:cstheme="majorBidi"/>
          <w:color w:val="333333"/>
          <w:spacing w:val="2"/>
        </w:rPr>
        <w:t>a</w:t>
      </w:r>
      <w:r w:rsidR="00602792">
        <w:rPr>
          <w:rFonts w:asciiTheme="majorBidi" w:hAnsiTheme="majorBidi" w:cstheme="majorBidi"/>
          <w:color w:val="333333"/>
          <w:spacing w:val="2"/>
        </w:rPr>
        <w:t>ncangan RKHUP tersebut mengingat pelaku LGBT juga ada pada usia dewasa di atas 18 tahun.</w:t>
      </w:r>
      <w:r w:rsidR="00602792">
        <w:rPr>
          <w:rStyle w:val="FootnoteReference"/>
          <w:rFonts w:asciiTheme="majorBidi" w:hAnsiTheme="majorBidi" w:cstheme="majorBidi"/>
          <w:color w:val="333333"/>
          <w:spacing w:val="2"/>
        </w:rPr>
        <w:footnoteReference w:id="29"/>
      </w:r>
      <w:r w:rsidR="00602792">
        <w:rPr>
          <w:rFonts w:asciiTheme="majorBidi" w:hAnsiTheme="majorBidi" w:cstheme="majorBidi"/>
          <w:color w:val="333333"/>
          <w:spacing w:val="2"/>
        </w:rPr>
        <w:t xml:space="preserve"> </w:t>
      </w:r>
    </w:p>
    <w:p w:rsidR="001F15B8" w:rsidRDefault="001F15B8" w:rsidP="00E804BD">
      <w:pPr>
        <w:pStyle w:val="NoSpacing"/>
        <w:ind w:firstLine="720"/>
        <w:rPr>
          <w:rFonts w:asciiTheme="majorBidi" w:hAnsiTheme="majorBidi" w:cstheme="majorBidi"/>
          <w:color w:val="333333"/>
          <w:spacing w:val="2"/>
        </w:rPr>
      </w:pPr>
      <w:r>
        <w:rPr>
          <w:rFonts w:asciiTheme="majorBidi" w:hAnsiTheme="majorBidi" w:cstheme="majorBidi"/>
          <w:color w:val="333333"/>
          <w:spacing w:val="2"/>
        </w:rPr>
        <w:t xml:space="preserve">Dualisme sikap antara MUI dan Pemerintah, tampak tidak </w:t>
      </w:r>
      <w:proofErr w:type="gramStart"/>
      <w:r>
        <w:rPr>
          <w:rFonts w:asciiTheme="majorBidi" w:hAnsiTheme="majorBidi" w:cstheme="majorBidi"/>
          <w:color w:val="333333"/>
          <w:spacing w:val="2"/>
        </w:rPr>
        <w:t>akan</w:t>
      </w:r>
      <w:proofErr w:type="gramEnd"/>
      <w:r>
        <w:rPr>
          <w:rFonts w:asciiTheme="majorBidi" w:hAnsiTheme="majorBidi" w:cstheme="majorBidi"/>
          <w:color w:val="333333"/>
          <w:spacing w:val="2"/>
        </w:rPr>
        <w:t xml:space="preserve"> membawa dampak berarti </w:t>
      </w:r>
      <w:r w:rsidR="00E21E35">
        <w:rPr>
          <w:rFonts w:asciiTheme="majorBidi" w:hAnsiTheme="majorBidi" w:cstheme="majorBidi"/>
          <w:color w:val="333333"/>
          <w:spacing w:val="2"/>
        </w:rPr>
        <w:t xml:space="preserve">terhadap pelaku LGBT di Indonesia. </w:t>
      </w:r>
      <w:proofErr w:type="gramStart"/>
      <w:r w:rsidR="00E21E35">
        <w:rPr>
          <w:rFonts w:asciiTheme="majorBidi" w:hAnsiTheme="majorBidi" w:cstheme="majorBidi"/>
          <w:color w:val="333333"/>
          <w:spacing w:val="2"/>
        </w:rPr>
        <w:t>Sikap MUI yang menolak secara mutlak difahami sebagai upaya untuk menempatkan ajaran agama sebagai panutan dalam berperilaku, sementara Negara harus hadir membela hak Azasi rakyatnya.</w:t>
      </w:r>
      <w:proofErr w:type="gramEnd"/>
      <w:r w:rsidR="00E21E35">
        <w:rPr>
          <w:rFonts w:asciiTheme="majorBidi" w:hAnsiTheme="majorBidi" w:cstheme="majorBidi"/>
          <w:color w:val="333333"/>
          <w:spacing w:val="2"/>
        </w:rPr>
        <w:t xml:space="preserve"> </w:t>
      </w:r>
      <w:proofErr w:type="gramStart"/>
      <w:r w:rsidR="00E21E35">
        <w:rPr>
          <w:rFonts w:asciiTheme="majorBidi" w:hAnsiTheme="majorBidi" w:cstheme="majorBidi"/>
          <w:color w:val="333333"/>
          <w:spacing w:val="2"/>
        </w:rPr>
        <w:t>Akan halnya mereka yang telah terpapar perilaku LGBT, MUI dan Negara harus hadir mengadvokasi</w:t>
      </w:r>
      <w:r w:rsidR="00E804BD">
        <w:rPr>
          <w:rFonts w:asciiTheme="majorBidi" w:hAnsiTheme="majorBidi" w:cstheme="majorBidi"/>
          <w:color w:val="333333"/>
          <w:spacing w:val="2"/>
        </w:rPr>
        <w:t xml:space="preserve"> pelaku</w:t>
      </w:r>
      <w:r w:rsidR="00E21E35">
        <w:rPr>
          <w:rFonts w:asciiTheme="majorBidi" w:hAnsiTheme="majorBidi" w:cstheme="majorBidi"/>
          <w:color w:val="333333"/>
          <w:spacing w:val="2"/>
        </w:rPr>
        <w:t xml:space="preserve"> </w:t>
      </w:r>
      <w:r w:rsidR="00E804BD">
        <w:rPr>
          <w:rFonts w:asciiTheme="majorBidi" w:hAnsiTheme="majorBidi" w:cstheme="majorBidi"/>
          <w:color w:val="333333"/>
          <w:spacing w:val="2"/>
        </w:rPr>
        <w:t>LGBT</w:t>
      </w:r>
      <w:r w:rsidR="00E21E35">
        <w:rPr>
          <w:rFonts w:asciiTheme="majorBidi" w:hAnsiTheme="majorBidi" w:cstheme="majorBidi"/>
          <w:color w:val="333333"/>
          <w:spacing w:val="2"/>
        </w:rPr>
        <w:t xml:space="preserve"> sembari mengupayakan </w:t>
      </w:r>
      <w:r w:rsidR="00E804BD">
        <w:rPr>
          <w:rFonts w:asciiTheme="majorBidi" w:hAnsiTheme="majorBidi" w:cstheme="majorBidi"/>
          <w:color w:val="333333"/>
          <w:spacing w:val="2"/>
        </w:rPr>
        <w:t>pengembalian mereka</w:t>
      </w:r>
      <w:r w:rsidR="00E21E35">
        <w:rPr>
          <w:rFonts w:asciiTheme="majorBidi" w:hAnsiTheme="majorBidi" w:cstheme="majorBidi"/>
          <w:color w:val="333333"/>
          <w:spacing w:val="2"/>
        </w:rPr>
        <w:t xml:space="preserve"> ke jalan yang benar.</w:t>
      </w:r>
      <w:proofErr w:type="gramEnd"/>
      <w:r w:rsidR="00E21E35">
        <w:rPr>
          <w:rFonts w:asciiTheme="majorBidi" w:hAnsiTheme="majorBidi" w:cstheme="majorBidi"/>
          <w:color w:val="333333"/>
          <w:spacing w:val="2"/>
        </w:rPr>
        <w:t xml:space="preserve"> </w:t>
      </w:r>
      <w:proofErr w:type="gramStart"/>
      <w:r w:rsidR="00E21E35">
        <w:rPr>
          <w:rFonts w:asciiTheme="majorBidi" w:hAnsiTheme="majorBidi" w:cstheme="majorBidi"/>
          <w:color w:val="333333"/>
          <w:spacing w:val="2"/>
        </w:rPr>
        <w:t>Itu sebabnya, sangat beralasan jika dikatakan bahwa pelaku LGBT adalah manusia biasa yang membutuhkan uluran tangan untuk diajak kembali ke jalan Allah.</w:t>
      </w:r>
      <w:proofErr w:type="gramEnd"/>
      <w:r w:rsidR="00E21E35">
        <w:rPr>
          <w:rFonts w:asciiTheme="majorBidi" w:hAnsiTheme="majorBidi" w:cstheme="majorBidi"/>
          <w:color w:val="333333"/>
          <w:spacing w:val="2"/>
        </w:rPr>
        <w:t xml:space="preserve"> </w:t>
      </w:r>
      <w:proofErr w:type="gramStart"/>
      <w:r w:rsidR="00E21E35">
        <w:rPr>
          <w:rFonts w:asciiTheme="majorBidi" w:hAnsiTheme="majorBidi" w:cstheme="majorBidi"/>
          <w:color w:val="333333"/>
          <w:spacing w:val="2"/>
        </w:rPr>
        <w:t xml:space="preserve">Mereka bukan musuh bersama, atau </w:t>
      </w:r>
      <w:r w:rsidR="00E21E35">
        <w:rPr>
          <w:rFonts w:asciiTheme="majorBidi" w:hAnsiTheme="majorBidi" w:cstheme="majorBidi"/>
          <w:color w:val="333333"/>
          <w:spacing w:val="2"/>
        </w:rPr>
        <w:lastRenderedPageBreak/>
        <w:t>makhluk yang harus didiskriminasi dan dimarjinalkan dalam sebuah lingkungan masyarakat.</w:t>
      </w:r>
      <w:proofErr w:type="gramEnd"/>
    </w:p>
    <w:p w:rsidR="001F15B8" w:rsidRDefault="001F15B8" w:rsidP="001F15B8">
      <w:pPr>
        <w:pStyle w:val="NoSpacing"/>
        <w:ind w:firstLine="720"/>
        <w:rPr>
          <w:rFonts w:asciiTheme="majorBidi" w:hAnsiTheme="majorBidi" w:cstheme="majorBidi"/>
          <w:color w:val="333333"/>
          <w:spacing w:val="2"/>
        </w:rPr>
      </w:pPr>
    </w:p>
    <w:p w:rsidR="00BE2946" w:rsidRDefault="00BE2946" w:rsidP="001F15B8">
      <w:pPr>
        <w:pStyle w:val="NoSpacing"/>
        <w:ind w:firstLine="720"/>
        <w:rPr>
          <w:rFonts w:asciiTheme="majorBidi" w:hAnsiTheme="majorBidi" w:cstheme="majorBidi"/>
          <w:color w:val="333333"/>
          <w:spacing w:val="2"/>
        </w:rPr>
      </w:pPr>
    </w:p>
    <w:p w:rsidR="00BE2946" w:rsidRDefault="00BE2946" w:rsidP="001F15B8">
      <w:pPr>
        <w:pStyle w:val="NoSpacing"/>
        <w:ind w:firstLine="720"/>
        <w:rPr>
          <w:rFonts w:asciiTheme="majorBidi" w:hAnsiTheme="majorBidi" w:cstheme="majorBidi"/>
          <w:color w:val="333333"/>
          <w:spacing w:val="2"/>
        </w:rPr>
      </w:pPr>
    </w:p>
    <w:p w:rsidR="00602792" w:rsidRPr="0063364D" w:rsidRDefault="00602792" w:rsidP="0063364D">
      <w:pPr>
        <w:pStyle w:val="NoSpacing"/>
        <w:ind w:firstLine="720"/>
        <w:rPr>
          <w:rFonts w:asciiTheme="majorBidi" w:hAnsiTheme="majorBidi" w:cstheme="majorBidi"/>
        </w:rPr>
      </w:pPr>
    </w:p>
    <w:p w:rsidR="00870C7F" w:rsidRDefault="00870C7F" w:rsidP="00467E01">
      <w:pPr>
        <w:pStyle w:val="NoSpacing"/>
      </w:pPr>
    </w:p>
    <w:p w:rsidR="005B2782" w:rsidRDefault="005B2782" w:rsidP="00467E01">
      <w:pPr>
        <w:pStyle w:val="NoSpacing"/>
      </w:pPr>
    </w:p>
    <w:p w:rsidR="005B2782" w:rsidRDefault="005B2782" w:rsidP="00467E01">
      <w:pPr>
        <w:pStyle w:val="NoSpacing"/>
      </w:pPr>
    </w:p>
    <w:p w:rsidR="005B2782" w:rsidRDefault="005B2782" w:rsidP="00467E01">
      <w:pPr>
        <w:pStyle w:val="NoSpacing"/>
      </w:pPr>
    </w:p>
    <w:p w:rsidR="005B2782" w:rsidRDefault="005B2782" w:rsidP="00467E01">
      <w:pPr>
        <w:pStyle w:val="NoSpacing"/>
      </w:pPr>
    </w:p>
    <w:p w:rsidR="005B2782" w:rsidRDefault="005B2782" w:rsidP="00467E01">
      <w:pPr>
        <w:pStyle w:val="NoSpacing"/>
      </w:pPr>
    </w:p>
    <w:p w:rsidR="005B2782" w:rsidRDefault="005B2782" w:rsidP="00467E01">
      <w:pPr>
        <w:pStyle w:val="NoSpacing"/>
      </w:pPr>
    </w:p>
    <w:p w:rsidR="005B2782" w:rsidRDefault="005B2782" w:rsidP="00467E01">
      <w:pPr>
        <w:pStyle w:val="NoSpacing"/>
      </w:pPr>
    </w:p>
    <w:p w:rsidR="005B2782" w:rsidRDefault="005B2782" w:rsidP="00467E01">
      <w:pPr>
        <w:pStyle w:val="NoSpacing"/>
      </w:pPr>
    </w:p>
    <w:p w:rsidR="005B2782" w:rsidRDefault="005B2782" w:rsidP="00467E01">
      <w:pPr>
        <w:pStyle w:val="NoSpacing"/>
      </w:pPr>
    </w:p>
    <w:p w:rsidR="00E43437" w:rsidRDefault="00E43437" w:rsidP="00467E01">
      <w:pPr>
        <w:pStyle w:val="NoSpacing"/>
      </w:pPr>
    </w:p>
    <w:p w:rsidR="00E43437" w:rsidRDefault="00E43437" w:rsidP="00467E01">
      <w:pPr>
        <w:pStyle w:val="NoSpacing"/>
      </w:pPr>
    </w:p>
    <w:p w:rsidR="00E43437" w:rsidRDefault="00E43437" w:rsidP="00467E01">
      <w:pPr>
        <w:pStyle w:val="NoSpacing"/>
      </w:pPr>
    </w:p>
    <w:p w:rsidR="005B2782" w:rsidRDefault="005B2782" w:rsidP="00467E01">
      <w:pPr>
        <w:pStyle w:val="NoSpacing"/>
      </w:pPr>
    </w:p>
    <w:p w:rsidR="005B2782" w:rsidRPr="00E43437" w:rsidRDefault="005B2782" w:rsidP="00E43437">
      <w:pPr>
        <w:rPr>
          <w:b/>
          <w:bCs/>
          <w:i/>
          <w:iCs/>
        </w:rPr>
      </w:pPr>
      <w:r w:rsidRPr="00E43437">
        <w:rPr>
          <w:b/>
          <w:bCs/>
          <w:i/>
          <w:iCs/>
        </w:rPr>
        <w:t xml:space="preserve">Kesimpulan </w:t>
      </w:r>
    </w:p>
    <w:p w:rsidR="005B2782" w:rsidRDefault="005B2782" w:rsidP="005B2782">
      <w:pPr>
        <w:ind w:firstLine="720"/>
      </w:pPr>
      <w:r>
        <w:t xml:space="preserve">LGBT pertamakali menyeruak isyunya di kisaran tahun 1960-an. </w:t>
      </w:r>
      <w:r w:rsidR="00934A39">
        <w:t xml:space="preserve">Gerakan advokasi terhadap LGBT dimulai sejak tahun 1982 ketika organisasi pelaku homoseksual didikan dengan </w:t>
      </w:r>
      <w:proofErr w:type="gramStart"/>
      <w:r w:rsidR="00934A39">
        <w:t>nama</w:t>
      </w:r>
      <w:proofErr w:type="gramEnd"/>
      <w:r w:rsidR="00934A39">
        <w:t xml:space="preserve"> LAMBDA dan menyusul pada tahun 1986 pelaku lesbi Indonesia juga mendirikan organisasi yang bernama PERLESIN. Tahun 2013 </w:t>
      </w:r>
      <w:r w:rsidR="00934A39">
        <w:lastRenderedPageBreak/>
        <w:t>terdata sekitar 119 oraganisasi LGBT didirikan dan mereka terbagi dalam dua kelompok besar yang sebarannya meliputi 28 Privinsi dari 34 Privinsi di Indonesia.</w:t>
      </w:r>
    </w:p>
    <w:p w:rsidR="00934A39" w:rsidRDefault="00934A39" w:rsidP="00934A39">
      <w:pPr>
        <w:ind w:firstLine="720"/>
        <w:rPr>
          <w:rFonts w:cs="Times New Roman"/>
        </w:rPr>
      </w:pPr>
      <w:r>
        <w:t>Perbuatan LGBT dalam hukum Islam termasuk dalam kategori perbuatan keji dan ancaman hukumannya disamakan dengan hukuman zina. Perbuatan ini adalah fenomena masyarakat yang tidak pernah terjad</w:t>
      </w:r>
      <w:r w:rsidR="004C7AEA">
        <w:t>i pada masyarakat sebelum umat N</w:t>
      </w:r>
      <w:r>
        <w:t>abi Lu</w:t>
      </w:r>
      <w:r>
        <w:rPr>
          <w:rFonts w:cs="Times New Roman"/>
        </w:rPr>
        <w:t>ṭ. Rasulullah saw</w:t>
      </w:r>
      <w:r w:rsidR="004F3B9B">
        <w:rPr>
          <w:rFonts w:cs="Times New Roman"/>
        </w:rPr>
        <w:t>.</w:t>
      </w:r>
      <w:r>
        <w:rPr>
          <w:rFonts w:cs="Times New Roman"/>
        </w:rPr>
        <w:t xml:space="preserve"> memberi ganjaran kepada pelaku LGBT (homoseksualitas) untuk dibunuh keduanya. Ancaman hukuman yang dijanjikan bagi pelaku LGBT dalam konteks ini </w:t>
      </w:r>
      <w:proofErr w:type="gramStart"/>
      <w:r>
        <w:rPr>
          <w:rFonts w:cs="Times New Roman"/>
        </w:rPr>
        <w:t>akan</w:t>
      </w:r>
      <w:proofErr w:type="gramEnd"/>
      <w:r>
        <w:rPr>
          <w:rFonts w:cs="Times New Roman"/>
        </w:rPr>
        <w:t xml:space="preserve"> bertentangan dengan pengakuan hak az</w:t>
      </w:r>
      <w:r w:rsidR="004F3B9B">
        <w:rPr>
          <w:rFonts w:cs="Times New Roman"/>
        </w:rPr>
        <w:t>a</w:t>
      </w:r>
      <w:r>
        <w:rPr>
          <w:rFonts w:cs="Times New Roman"/>
        </w:rPr>
        <w:t>si manusia sebagaimana ditemukan dalam Universal Declaration of Human Rights.</w:t>
      </w:r>
    </w:p>
    <w:p w:rsidR="00934A39" w:rsidRDefault="00934A39" w:rsidP="00833917">
      <w:pPr>
        <w:ind w:firstLine="720"/>
      </w:pPr>
      <w:r>
        <w:t xml:space="preserve">Indonesia sebagai salah satu Negara yang meratifikasi Deklarasi Kairo secara lansung menganut mazhab </w:t>
      </w:r>
      <w:r w:rsidR="00833917">
        <w:t xml:space="preserve">hak azasi manusia dalam konteks parsial sehingga dalam menentukan hukuman bagi pelaku LGBT </w:t>
      </w:r>
      <w:proofErr w:type="gramStart"/>
      <w:r w:rsidR="00833917">
        <w:t>akan</w:t>
      </w:r>
      <w:proofErr w:type="gramEnd"/>
      <w:r w:rsidR="00833917">
        <w:t xml:space="preserve"> mengacu pada ajaran dan norma dasar masyarakat hukum Indonesia. Pada sisi lain masya</w:t>
      </w:r>
      <w:r w:rsidR="004C7AEA">
        <w:t>rakat Indonesia menganut Islam s</w:t>
      </w:r>
      <w:r w:rsidR="00833917">
        <w:t xml:space="preserve">ebagai agama mayoritas sehingga nilai-nilai dalam ajaran Islam </w:t>
      </w:r>
      <w:proofErr w:type="gramStart"/>
      <w:r w:rsidR="00833917">
        <w:t>akan</w:t>
      </w:r>
      <w:proofErr w:type="gramEnd"/>
      <w:r w:rsidR="00833917">
        <w:t xml:space="preserve"> menempati ruang-ruang huku</w:t>
      </w:r>
      <w:r w:rsidR="004C7AEA">
        <w:t>m</w:t>
      </w:r>
      <w:r w:rsidR="00833917">
        <w:t xml:space="preserve"> yang ada termasuk</w:t>
      </w:r>
      <w:r w:rsidR="004C7AEA">
        <w:t>,</w:t>
      </w:r>
      <w:r w:rsidR="00833917">
        <w:t xml:space="preserve"> ketika berbicara tentang LGBT.  Logika hukum ini terwakili ketika DPR RI telah memasukkan LGBT dalam RKUHP yang isinya memasukkan LGBT sebagai perbuatan cabul dan pelakunya diancam  hukuman pidana, namun ini berlaku bagi pelaku yang berusia di bawah 18 tahun. </w:t>
      </w:r>
      <w:proofErr w:type="gramStart"/>
      <w:r w:rsidR="0078705E">
        <w:t>Pelaku LGBT di Indonesia seyogyanya mendapat perlindungan agar mereka terhindar dari diskriminasi sembari mengupayakan jalan untuk mengajak mereka kembali ke jalan Allah.</w:t>
      </w:r>
      <w:proofErr w:type="gramEnd"/>
      <w:r w:rsidR="0078705E">
        <w:t xml:space="preserve"> </w:t>
      </w:r>
      <w:proofErr w:type="gramStart"/>
      <w:r w:rsidR="0078705E">
        <w:t>MUI dan Pemerintah hendaknya bahu-membahu menyusun regulasi tentang perilaku terhadap LGBT untuk memudahkan pelaku yang terpapar menemukan kebenar jalan hidup mereka.</w:t>
      </w:r>
      <w:proofErr w:type="gramEnd"/>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0E3017" w:rsidRDefault="000E3017" w:rsidP="008D6175">
      <w:pPr>
        <w:jc w:val="center"/>
        <w:rPr>
          <w:b/>
          <w:bCs/>
        </w:rPr>
      </w:pPr>
    </w:p>
    <w:p w:rsidR="00833917" w:rsidRDefault="00833917" w:rsidP="008D6175">
      <w:pPr>
        <w:jc w:val="center"/>
        <w:rPr>
          <w:b/>
          <w:bCs/>
        </w:rPr>
      </w:pPr>
      <w:r>
        <w:rPr>
          <w:b/>
          <w:bCs/>
        </w:rPr>
        <w:t>DAFTAR PUSTAKA</w:t>
      </w:r>
    </w:p>
    <w:p w:rsidR="004F3B9B" w:rsidRDefault="004F3B9B" w:rsidP="00774A59">
      <w:pPr>
        <w:pStyle w:val="Heading5"/>
        <w:ind w:left="0" w:firstLine="0"/>
        <w:jc w:val="left"/>
      </w:pPr>
      <w:r>
        <w:t xml:space="preserve">Abū Dāwūd, </w:t>
      </w:r>
      <w:r w:rsidRPr="00634CDE">
        <w:rPr>
          <w:i/>
          <w:iCs/>
        </w:rPr>
        <w:t>Sunan Abī Dāwūd</w:t>
      </w:r>
      <w:r>
        <w:t>, Juz VII Beirut: Dār al-Kutub al-‘Ilmiyyah, t.th</w:t>
      </w:r>
    </w:p>
    <w:p w:rsidR="001F15B8" w:rsidRPr="001F15B8" w:rsidRDefault="000E3017" w:rsidP="001F15B8">
      <w:pPr>
        <w:widowControl w:val="0"/>
        <w:autoSpaceDE w:val="0"/>
        <w:autoSpaceDN w:val="0"/>
        <w:adjustRightInd w:val="0"/>
        <w:spacing w:before="120" w:after="120" w:line="240" w:lineRule="exact"/>
        <w:ind w:left="480" w:hanging="480"/>
        <w:rPr>
          <w:rFonts w:cs="Times New Roman"/>
          <w:noProof/>
          <w:szCs w:val="24"/>
        </w:rPr>
      </w:pPr>
      <w:r>
        <w:fldChar w:fldCharType="begin" w:fldLock="1"/>
      </w:r>
      <w:r>
        <w:instrText xml:space="preserve">ADDIN Mendeley Bibliography CSL_BIBLIOGRAPHY </w:instrText>
      </w:r>
      <w:r>
        <w:fldChar w:fldCharType="separate"/>
      </w:r>
      <w:r w:rsidR="001F15B8" w:rsidRPr="001F15B8">
        <w:rPr>
          <w:rFonts w:cs="Times New Roman"/>
          <w:noProof/>
          <w:szCs w:val="24"/>
        </w:rPr>
        <w:t xml:space="preserve">Biçmen, Zümrüt, dan Zafer Bekiroğulları, “Social Problems of LGBT People in Turkey,” </w:t>
      </w:r>
      <w:r w:rsidR="001F15B8" w:rsidRPr="001F15B8">
        <w:rPr>
          <w:rFonts w:cs="Times New Roman"/>
          <w:i/>
          <w:iCs/>
          <w:noProof/>
          <w:szCs w:val="24"/>
        </w:rPr>
        <w:t>Procedia - Social and Behavioral Sciences</w:t>
      </w:r>
      <w:r w:rsidR="001F15B8" w:rsidRPr="001F15B8">
        <w:rPr>
          <w:rFonts w:cs="Times New Roman"/>
          <w:noProof/>
          <w:szCs w:val="24"/>
        </w:rPr>
        <w:t>, 113 (2014), 224–33 &lt;https://doi.org/10.1016/j.sbspro.2014.01.029&gt;</w:t>
      </w:r>
    </w:p>
    <w:p w:rsidR="001F15B8" w:rsidRPr="001F15B8" w:rsidRDefault="001F15B8" w:rsidP="001F15B8">
      <w:pPr>
        <w:widowControl w:val="0"/>
        <w:autoSpaceDE w:val="0"/>
        <w:autoSpaceDN w:val="0"/>
        <w:adjustRightInd w:val="0"/>
        <w:spacing w:before="120" w:after="120" w:line="240" w:lineRule="exact"/>
        <w:ind w:left="480" w:hanging="480"/>
        <w:rPr>
          <w:rFonts w:cs="Times New Roman"/>
          <w:noProof/>
          <w:szCs w:val="24"/>
        </w:rPr>
      </w:pPr>
      <w:r w:rsidRPr="001F15B8">
        <w:rPr>
          <w:rFonts w:cs="Times New Roman"/>
          <w:noProof/>
          <w:szCs w:val="24"/>
        </w:rPr>
        <w:t xml:space="preserve">Dédé Oetomo, Khanis Suvianita, </w:t>
      </w:r>
      <w:r w:rsidRPr="001F15B8">
        <w:rPr>
          <w:rFonts w:cs="Times New Roman"/>
          <w:i/>
          <w:iCs/>
          <w:noProof/>
          <w:szCs w:val="24"/>
        </w:rPr>
        <w:t>Hidup Sebagai LGBT di Asia</w:t>
      </w:r>
      <w:r w:rsidRPr="001F15B8">
        <w:rPr>
          <w:rFonts w:cs="Times New Roman"/>
          <w:noProof/>
          <w:szCs w:val="24"/>
        </w:rPr>
        <w:t xml:space="preserve">, </w:t>
      </w:r>
      <w:r w:rsidRPr="001F15B8">
        <w:rPr>
          <w:rFonts w:cs="Times New Roman"/>
          <w:i/>
          <w:iCs/>
          <w:noProof/>
          <w:szCs w:val="24"/>
        </w:rPr>
        <w:t>Laporan LGBT Nasional Indonesia</w:t>
      </w:r>
      <w:r w:rsidRPr="001F15B8">
        <w:rPr>
          <w:rFonts w:cs="Times New Roman"/>
          <w:noProof/>
          <w:szCs w:val="24"/>
        </w:rPr>
        <w:t>, Cet.I (Bali: UNDP, 2013)</w:t>
      </w:r>
    </w:p>
    <w:p w:rsidR="001F15B8" w:rsidRPr="001F15B8" w:rsidRDefault="001F15B8" w:rsidP="001F15B8">
      <w:pPr>
        <w:widowControl w:val="0"/>
        <w:autoSpaceDE w:val="0"/>
        <w:autoSpaceDN w:val="0"/>
        <w:adjustRightInd w:val="0"/>
        <w:spacing w:before="120" w:after="120" w:line="240" w:lineRule="exact"/>
        <w:ind w:left="480" w:hanging="480"/>
        <w:rPr>
          <w:rFonts w:cs="Times New Roman"/>
          <w:noProof/>
          <w:szCs w:val="24"/>
        </w:rPr>
      </w:pPr>
      <w:r w:rsidRPr="001F15B8">
        <w:rPr>
          <w:rFonts w:cs="Times New Roman"/>
          <w:noProof/>
          <w:szCs w:val="24"/>
        </w:rPr>
        <w:t xml:space="preserve">Gadis Arivia &amp; Abby Gina, </w:t>
      </w:r>
      <w:r w:rsidRPr="001F15B8">
        <w:rPr>
          <w:rFonts w:cs="Times New Roman"/>
          <w:i/>
          <w:iCs/>
          <w:noProof/>
          <w:szCs w:val="24"/>
        </w:rPr>
        <w:t>QUEERING INDONESIA : When the State is Absent : A Study Og LGBT Community in Jakarta</w:t>
      </w:r>
      <w:r w:rsidRPr="001F15B8">
        <w:rPr>
          <w:rFonts w:cs="Times New Roman"/>
          <w:noProof/>
          <w:szCs w:val="24"/>
        </w:rPr>
        <w:t xml:space="preserve">, ed. oleh Lea Šimek (Jakarta: YJP Press, 2016), </w:t>
      </w:r>
      <w:r w:rsidRPr="001F15B8">
        <w:rPr>
          <w:rFonts w:cs="Times New Roman"/>
          <w:smallCaps/>
          <w:noProof/>
          <w:szCs w:val="24"/>
        </w:rPr>
        <w:t>iv</w:t>
      </w:r>
      <w:r w:rsidRPr="001F15B8">
        <w:rPr>
          <w:rFonts w:cs="Times New Roman"/>
          <w:noProof/>
          <w:szCs w:val="24"/>
        </w:rPr>
        <w:t xml:space="preserve"> &lt;www.jurnalperempuan.org/indonesian-feminist-journal.html&gt;</w:t>
      </w:r>
    </w:p>
    <w:p w:rsidR="001F15B8" w:rsidRPr="001F15B8" w:rsidRDefault="001F15B8" w:rsidP="001F15B8">
      <w:pPr>
        <w:widowControl w:val="0"/>
        <w:autoSpaceDE w:val="0"/>
        <w:autoSpaceDN w:val="0"/>
        <w:adjustRightInd w:val="0"/>
        <w:spacing w:before="120" w:after="120" w:line="240" w:lineRule="exact"/>
        <w:ind w:left="480" w:hanging="480"/>
        <w:rPr>
          <w:rFonts w:cs="Times New Roman"/>
          <w:noProof/>
          <w:szCs w:val="24"/>
        </w:rPr>
      </w:pPr>
      <w:r w:rsidRPr="001F15B8">
        <w:rPr>
          <w:rFonts w:cs="Times New Roman"/>
          <w:noProof/>
          <w:szCs w:val="24"/>
        </w:rPr>
        <w:t xml:space="preserve">Gates, Gary J, “Marriage and family: LGBT individuals and same-sex couples,” </w:t>
      </w:r>
      <w:r w:rsidRPr="001F15B8">
        <w:rPr>
          <w:rFonts w:cs="Times New Roman"/>
          <w:i/>
          <w:iCs/>
          <w:noProof/>
          <w:szCs w:val="24"/>
        </w:rPr>
        <w:t>The Future of Children</w:t>
      </w:r>
      <w:r w:rsidRPr="001F15B8">
        <w:rPr>
          <w:rFonts w:cs="Times New Roman"/>
          <w:noProof/>
          <w:szCs w:val="24"/>
        </w:rPr>
        <w:t>, 2015, 67–87</w:t>
      </w:r>
    </w:p>
    <w:p w:rsidR="001F15B8" w:rsidRPr="001F15B8" w:rsidRDefault="001F15B8" w:rsidP="001F15B8">
      <w:pPr>
        <w:widowControl w:val="0"/>
        <w:autoSpaceDE w:val="0"/>
        <w:autoSpaceDN w:val="0"/>
        <w:adjustRightInd w:val="0"/>
        <w:spacing w:before="120" w:after="120" w:line="240" w:lineRule="exact"/>
        <w:ind w:left="480" w:hanging="480"/>
        <w:rPr>
          <w:rFonts w:cs="Times New Roman"/>
          <w:noProof/>
          <w:szCs w:val="24"/>
        </w:rPr>
      </w:pPr>
      <w:r w:rsidRPr="001F15B8">
        <w:rPr>
          <w:rFonts w:cs="Times New Roman"/>
          <w:noProof/>
          <w:szCs w:val="24"/>
        </w:rPr>
        <w:t xml:space="preserve">Hafiz, Muhammad, “Dinamika Hukum Dan Hak Asasi Manusia Di Negara-Negara Muslim,” </w:t>
      </w:r>
      <w:r w:rsidRPr="001F15B8">
        <w:rPr>
          <w:rFonts w:cs="Times New Roman"/>
          <w:i/>
          <w:iCs/>
          <w:noProof/>
          <w:szCs w:val="24"/>
        </w:rPr>
        <w:t>Al-Ahkam</w:t>
      </w:r>
      <w:r w:rsidRPr="001F15B8">
        <w:rPr>
          <w:rFonts w:cs="Times New Roman"/>
          <w:noProof/>
          <w:szCs w:val="24"/>
        </w:rPr>
        <w:t>, 23 (2013), 201–24 &lt;https://doi.org/10.21580/ahkam.</w:t>
      </w:r>
      <w:r w:rsidR="00BE2946">
        <w:rPr>
          <w:rFonts w:cs="Times New Roman"/>
          <w:noProof/>
          <w:szCs w:val="24"/>
        </w:rPr>
        <w:t xml:space="preserve"> </w:t>
      </w:r>
      <w:r w:rsidRPr="001F15B8">
        <w:rPr>
          <w:rFonts w:cs="Times New Roman"/>
          <w:noProof/>
          <w:szCs w:val="24"/>
        </w:rPr>
        <w:t>2013.23.2.23&gt;</w:t>
      </w:r>
    </w:p>
    <w:p w:rsidR="001F15B8" w:rsidRPr="001F15B8" w:rsidRDefault="001F15B8" w:rsidP="001F15B8">
      <w:pPr>
        <w:widowControl w:val="0"/>
        <w:autoSpaceDE w:val="0"/>
        <w:autoSpaceDN w:val="0"/>
        <w:adjustRightInd w:val="0"/>
        <w:spacing w:before="120" w:after="120" w:line="240" w:lineRule="exact"/>
        <w:ind w:left="480" w:hanging="480"/>
        <w:rPr>
          <w:rFonts w:cs="Times New Roman"/>
          <w:noProof/>
          <w:szCs w:val="24"/>
        </w:rPr>
      </w:pPr>
      <w:r w:rsidRPr="001F15B8">
        <w:rPr>
          <w:rFonts w:cs="Times New Roman"/>
          <w:noProof/>
          <w:szCs w:val="24"/>
        </w:rPr>
        <w:t xml:space="preserve">Kemala, Putri, “Peran Wilayatul Hisbah Dalam Mencegah Lesbian, Gay, Biseksual Dan Transgender (Lgbt) Di Banda Aceh,” </w:t>
      </w:r>
      <w:r w:rsidRPr="001F15B8">
        <w:rPr>
          <w:rFonts w:cs="Times New Roman"/>
          <w:i/>
          <w:iCs/>
          <w:noProof/>
          <w:szCs w:val="24"/>
        </w:rPr>
        <w:t>Al-Idarah: Jurnal Manajemen dan Administrasi Islam</w:t>
      </w:r>
      <w:r w:rsidRPr="001F15B8">
        <w:rPr>
          <w:rFonts w:cs="Times New Roman"/>
          <w:noProof/>
          <w:szCs w:val="24"/>
        </w:rPr>
        <w:t>, 1 (2017), 261 &lt;https://doi.org/10.22373/al-idarah.</w:t>
      </w:r>
      <w:r w:rsidR="00BE2946">
        <w:rPr>
          <w:rFonts w:cs="Times New Roman"/>
          <w:noProof/>
          <w:szCs w:val="24"/>
        </w:rPr>
        <w:t xml:space="preserve"> </w:t>
      </w:r>
      <w:r w:rsidRPr="001F15B8">
        <w:rPr>
          <w:rFonts w:cs="Times New Roman"/>
          <w:noProof/>
          <w:szCs w:val="24"/>
        </w:rPr>
        <w:t>v1i2.2672&gt;</w:t>
      </w:r>
    </w:p>
    <w:p w:rsidR="001F15B8" w:rsidRPr="001F15B8" w:rsidRDefault="001F15B8" w:rsidP="001F15B8">
      <w:pPr>
        <w:widowControl w:val="0"/>
        <w:autoSpaceDE w:val="0"/>
        <w:autoSpaceDN w:val="0"/>
        <w:adjustRightInd w:val="0"/>
        <w:spacing w:before="120" w:after="120" w:line="240" w:lineRule="exact"/>
        <w:ind w:left="480" w:hanging="480"/>
        <w:rPr>
          <w:rFonts w:cs="Times New Roman"/>
          <w:noProof/>
          <w:szCs w:val="24"/>
        </w:rPr>
      </w:pPr>
      <w:r w:rsidRPr="001F15B8">
        <w:rPr>
          <w:rFonts w:cs="Times New Roman"/>
          <w:noProof/>
          <w:szCs w:val="24"/>
        </w:rPr>
        <w:t xml:space="preserve">Khalik, Subehan, “NAJAMUDDIN AL-ṬŪFĪY DAN KONSEP MAṢLAḤAT,” </w:t>
      </w:r>
      <w:r w:rsidRPr="001F15B8">
        <w:rPr>
          <w:rFonts w:cs="Times New Roman"/>
          <w:i/>
          <w:iCs/>
          <w:noProof/>
          <w:szCs w:val="24"/>
        </w:rPr>
        <w:lastRenderedPageBreak/>
        <w:t>Aldaulah: Jurnal Hukum Pidana dan Ketatanegaraan</w:t>
      </w:r>
      <w:r w:rsidRPr="001F15B8">
        <w:rPr>
          <w:rFonts w:cs="Times New Roman"/>
          <w:noProof/>
          <w:szCs w:val="24"/>
        </w:rPr>
        <w:t>, 5 (2016), 109–18 &lt;https://doi.org/10.24252/ad.v5i1.1444&gt;</w:t>
      </w:r>
    </w:p>
    <w:p w:rsidR="001F15B8" w:rsidRPr="001F15B8" w:rsidRDefault="001F15B8" w:rsidP="001F15B8">
      <w:pPr>
        <w:widowControl w:val="0"/>
        <w:autoSpaceDE w:val="0"/>
        <w:autoSpaceDN w:val="0"/>
        <w:adjustRightInd w:val="0"/>
        <w:spacing w:before="120" w:after="120" w:line="240" w:lineRule="exact"/>
        <w:ind w:left="480" w:hanging="480"/>
        <w:rPr>
          <w:rFonts w:cs="Times New Roman"/>
          <w:noProof/>
          <w:szCs w:val="24"/>
        </w:rPr>
      </w:pPr>
      <w:r w:rsidRPr="001F15B8">
        <w:rPr>
          <w:rFonts w:cs="Times New Roman"/>
          <w:noProof/>
          <w:szCs w:val="24"/>
        </w:rPr>
        <w:t xml:space="preserve">Na’im, Abdullahi Ahmed An, </w:t>
      </w:r>
      <w:r w:rsidRPr="001F15B8">
        <w:rPr>
          <w:rFonts w:cs="Times New Roman"/>
          <w:i/>
          <w:iCs/>
          <w:noProof/>
          <w:szCs w:val="24"/>
        </w:rPr>
        <w:t>Toward an Islamic reformation: Civil liberties, human rights, and international law</w:t>
      </w:r>
      <w:r w:rsidRPr="001F15B8">
        <w:rPr>
          <w:rFonts w:cs="Times New Roman"/>
          <w:noProof/>
          <w:szCs w:val="24"/>
        </w:rPr>
        <w:t>, 5 ed. (New York: Syracuse University Press, 1996)</w:t>
      </w:r>
    </w:p>
    <w:p w:rsidR="001F15B8" w:rsidRPr="001F15B8" w:rsidRDefault="001F15B8" w:rsidP="001F15B8">
      <w:pPr>
        <w:widowControl w:val="0"/>
        <w:autoSpaceDE w:val="0"/>
        <w:autoSpaceDN w:val="0"/>
        <w:adjustRightInd w:val="0"/>
        <w:spacing w:before="120" w:after="120" w:line="240" w:lineRule="exact"/>
        <w:ind w:left="480" w:hanging="480"/>
        <w:rPr>
          <w:rFonts w:cs="Times New Roman"/>
          <w:noProof/>
          <w:szCs w:val="24"/>
        </w:rPr>
      </w:pPr>
      <w:r w:rsidRPr="001F15B8">
        <w:rPr>
          <w:rFonts w:cs="Times New Roman"/>
          <w:noProof/>
          <w:szCs w:val="24"/>
        </w:rPr>
        <w:t xml:space="preserve">Russell, Stephen T., dan Jessica N. Fish, “Mental Health in Lesbian, Gay, Bisexual, and Transgender (LGBT) Youth,” </w:t>
      </w:r>
      <w:r w:rsidRPr="001F15B8">
        <w:rPr>
          <w:rFonts w:cs="Times New Roman"/>
          <w:i/>
          <w:iCs/>
          <w:noProof/>
          <w:szCs w:val="24"/>
        </w:rPr>
        <w:t>Annual Review of Clinical Psychology</w:t>
      </w:r>
      <w:r w:rsidRPr="001F15B8">
        <w:rPr>
          <w:rFonts w:cs="Times New Roman"/>
          <w:noProof/>
          <w:szCs w:val="24"/>
        </w:rPr>
        <w:t>, 2016 &lt;https://doi.org/10.1146/annurev-clinpsy-021815-093153&gt;</w:t>
      </w:r>
    </w:p>
    <w:p w:rsidR="001F15B8" w:rsidRPr="001F15B8" w:rsidRDefault="001F15B8" w:rsidP="001F15B8">
      <w:pPr>
        <w:widowControl w:val="0"/>
        <w:autoSpaceDE w:val="0"/>
        <w:autoSpaceDN w:val="0"/>
        <w:adjustRightInd w:val="0"/>
        <w:spacing w:before="120" w:after="120" w:line="240" w:lineRule="exact"/>
        <w:ind w:left="480" w:hanging="480"/>
        <w:rPr>
          <w:rFonts w:cs="Times New Roman"/>
          <w:noProof/>
        </w:rPr>
      </w:pPr>
      <w:r w:rsidRPr="001F15B8">
        <w:rPr>
          <w:rFonts w:cs="Times New Roman"/>
          <w:noProof/>
          <w:szCs w:val="24"/>
        </w:rPr>
        <w:t xml:space="preserve">Su, Dejun, Jay A. Irwin, Christopher Fisher, Athena Ramos, Megan Kelley, Diana Ariss Rogel Mendoza, et al., “Mental Health Disparities Within the LGBT Population: A Comparison Between Transgender and Nontransgender Individuals,” </w:t>
      </w:r>
      <w:r w:rsidRPr="001F15B8">
        <w:rPr>
          <w:rFonts w:cs="Times New Roman"/>
          <w:i/>
          <w:iCs/>
          <w:noProof/>
          <w:szCs w:val="24"/>
        </w:rPr>
        <w:t>Transgender Health</w:t>
      </w:r>
      <w:r w:rsidRPr="001F15B8">
        <w:rPr>
          <w:rFonts w:cs="Times New Roman"/>
          <w:noProof/>
          <w:szCs w:val="24"/>
        </w:rPr>
        <w:t>, 1 (2016), 12–20 &lt;https://doi.org/10.1089/</w:t>
      </w:r>
      <w:r w:rsidR="00BE2946">
        <w:rPr>
          <w:rFonts w:cs="Times New Roman"/>
          <w:noProof/>
          <w:szCs w:val="24"/>
        </w:rPr>
        <w:t xml:space="preserve"> </w:t>
      </w:r>
      <w:r w:rsidRPr="001F15B8">
        <w:rPr>
          <w:rFonts w:cs="Times New Roman"/>
          <w:noProof/>
          <w:szCs w:val="24"/>
        </w:rPr>
        <w:t>trgh.2015.0001&gt;</w:t>
      </w:r>
    </w:p>
    <w:p w:rsidR="004F3B9B" w:rsidRPr="00291F5A" w:rsidRDefault="000E3017" w:rsidP="001F15B8">
      <w:pPr>
        <w:widowControl w:val="0"/>
        <w:autoSpaceDE w:val="0"/>
        <w:autoSpaceDN w:val="0"/>
        <w:adjustRightInd w:val="0"/>
        <w:spacing w:before="120" w:after="120" w:line="240" w:lineRule="exact"/>
        <w:ind w:left="480" w:hanging="480"/>
      </w:pPr>
      <w:r>
        <w:fldChar w:fldCharType="end"/>
      </w:r>
      <w:proofErr w:type="gramStart"/>
      <w:r w:rsidR="004F3B9B">
        <w:t>al-Sy</w:t>
      </w:r>
      <w:r w:rsidR="004F3B9B">
        <w:rPr>
          <w:rFonts w:cs="Times New Roman"/>
        </w:rPr>
        <w:t>āṭ</w:t>
      </w:r>
      <w:r w:rsidR="004F3B9B">
        <w:t>ib</w:t>
      </w:r>
      <w:r w:rsidR="004F3B9B">
        <w:rPr>
          <w:rFonts w:cs="Times New Roman"/>
        </w:rPr>
        <w:t>ī</w:t>
      </w:r>
      <w:proofErr w:type="gramEnd"/>
      <w:r w:rsidR="004F3B9B">
        <w:t>, Ab</w:t>
      </w:r>
      <w:r w:rsidR="004F3B9B">
        <w:rPr>
          <w:rFonts w:cs="Times New Roman"/>
        </w:rPr>
        <w:t>ū</w:t>
      </w:r>
      <w:r w:rsidR="004F3B9B">
        <w:t xml:space="preserve"> Is</w:t>
      </w:r>
      <w:r w:rsidR="004F3B9B">
        <w:rPr>
          <w:rFonts w:cs="Times New Roman"/>
        </w:rPr>
        <w:t>ḥ</w:t>
      </w:r>
      <w:r w:rsidR="004F3B9B">
        <w:t xml:space="preserve">aq </w:t>
      </w:r>
      <w:r w:rsidR="004F3B9B">
        <w:rPr>
          <w:i/>
          <w:iCs/>
        </w:rPr>
        <w:t>al-Muwafaq</w:t>
      </w:r>
      <w:r w:rsidR="004F3B9B">
        <w:rPr>
          <w:rFonts w:cs="Times New Roman"/>
          <w:i/>
          <w:iCs/>
        </w:rPr>
        <w:t>ā</w:t>
      </w:r>
      <w:r w:rsidR="004F3B9B">
        <w:rPr>
          <w:i/>
          <w:iCs/>
        </w:rPr>
        <w:t>t f</w:t>
      </w:r>
      <w:r w:rsidR="004F3B9B">
        <w:rPr>
          <w:rFonts w:cs="Times New Roman"/>
          <w:i/>
          <w:iCs/>
        </w:rPr>
        <w:t>ī</w:t>
      </w:r>
      <w:r w:rsidR="004F3B9B">
        <w:rPr>
          <w:i/>
          <w:iCs/>
        </w:rPr>
        <w:t xml:space="preserve"> U</w:t>
      </w:r>
      <w:r w:rsidR="004F3B9B">
        <w:rPr>
          <w:rFonts w:cs="Times New Roman"/>
          <w:i/>
          <w:iCs/>
        </w:rPr>
        <w:t>ṣū</w:t>
      </w:r>
      <w:r w:rsidR="004F3B9B">
        <w:rPr>
          <w:i/>
          <w:iCs/>
        </w:rPr>
        <w:t>l al-Syar</w:t>
      </w:r>
      <w:r w:rsidR="004F3B9B">
        <w:rPr>
          <w:rFonts w:cs="Times New Roman"/>
          <w:i/>
          <w:iCs/>
        </w:rPr>
        <w:t>ī</w:t>
      </w:r>
      <w:r w:rsidR="004F3B9B">
        <w:rPr>
          <w:i/>
          <w:iCs/>
        </w:rPr>
        <w:t>’ah</w:t>
      </w:r>
      <w:r w:rsidR="00D7636C">
        <w:t xml:space="preserve"> Juz II</w:t>
      </w:r>
      <w:r w:rsidR="004F3B9B">
        <w:t xml:space="preserve"> Beir</w:t>
      </w:r>
      <w:r w:rsidR="004F3B9B">
        <w:rPr>
          <w:rFonts w:cs="Times New Roman"/>
        </w:rPr>
        <w:t>ū</w:t>
      </w:r>
      <w:r w:rsidR="004F3B9B">
        <w:t>t: D</w:t>
      </w:r>
      <w:r w:rsidR="004F3B9B">
        <w:rPr>
          <w:rFonts w:cs="Times New Roman"/>
        </w:rPr>
        <w:t>ā</w:t>
      </w:r>
      <w:r w:rsidR="004F3B9B">
        <w:t>r al-Ma’rifah, 1997</w:t>
      </w:r>
    </w:p>
    <w:p w:rsidR="00833917" w:rsidRDefault="00F52BDB" w:rsidP="00774A59">
      <w:pPr>
        <w:pStyle w:val="Heading5"/>
        <w:jc w:val="left"/>
      </w:pPr>
      <w:hyperlink r:id="rId10" w:history="1">
        <w:r w:rsidRPr="00576A70">
          <w:rPr>
            <w:rStyle w:val="Hyperlink"/>
          </w:rPr>
          <w:t>https://nasional.tempo.co/read/1057953/dpr-dan-mui-sepakat-lgbt-dipidana-dalam-rkuhp</w:t>
        </w:r>
      </w:hyperlink>
      <w:r>
        <w:t xml:space="preserve"> </w:t>
      </w:r>
    </w:p>
    <w:p w:rsidR="00833917" w:rsidRDefault="00774A59" w:rsidP="00E804BD">
      <w:pPr>
        <w:pStyle w:val="Heading5"/>
        <w:jc w:val="left"/>
      </w:pPr>
      <w:hyperlink r:id="rId11" w:history="1">
        <w:r w:rsidR="008D6175" w:rsidRPr="00775D80">
          <w:rPr>
            <w:rStyle w:val="Hyperlink"/>
          </w:rPr>
          <w:t>https://www.liputan6.com/global/read/2963642/4-kasus-lgbt-di-indonesia-yang-disorot-dunia</w:t>
        </w:r>
      </w:hyperlink>
      <w:r w:rsidR="008D6175">
        <w:t xml:space="preserve"> (Di</w:t>
      </w:r>
      <w:r w:rsidR="00E804BD">
        <w:t>akses pada tanggal 20 September 2019</w:t>
      </w:r>
      <w:r w:rsidR="008D6175">
        <w:t>)</w:t>
      </w:r>
    </w:p>
    <w:p w:rsidR="008D6175" w:rsidRDefault="00774A59" w:rsidP="00774A59">
      <w:pPr>
        <w:pStyle w:val="Heading5"/>
        <w:jc w:val="left"/>
      </w:pPr>
      <w:hyperlink r:id="rId12" w:history="1">
        <w:r w:rsidR="008D6175" w:rsidRPr="00775D80">
          <w:rPr>
            <w:rStyle w:val="Hyperlink"/>
          </w:rPr>
          <w:t>https://nasional.tempo.co/read/1044655/pakar-hukum-ada-kekosongan-hukum-tentang-lgbt-di-indonesia</w:t>
        </w:r>
      </w:hyperlink>
      <w:r w:rsidR="008D6175">
        <w:t xml:space="preserve"> (Edisi terbit tanggal 27 Desember 2017).</w:t>
      </w:r>
    </w:p>
    <w:p w:rsidR="008D6175" w:rsidRDefault="00774A59" w:rsidP="00774A59">
      <w:pPr>
        <w:pStyle w:val="Heading5"/>
        <w:jc w:val="left"/>
      </w:pPr>
      <w:hyperlink r:id="rId13" w:history="1">
        <w:r w:rsidR="008D6175" w:rsidRPr="00775D80">
          <w:rPr>
            <w:rStyle w:val="Hyperlink"/>
          </w:rPr>
          <w:t>http://www.republika.co.id/berita/jurnalisme-warga/wacana/16/01/28/o1n41d336-menelisik-perjalanan-lgbt-di-indonesia</w:t>
        </w:r>
      </w:hyperlink>
      <w:r w:rsidR="008D6175">
        <w:t xml:space="preserve"> (Di</w:t>
      </w:r>
      <w:r w:rsidR="00E804BD">
        <w:t xml:space="preserve">akses pada tanggal </w:t>
      </w:r>
      <w:r w:rsidR="00E804BD" w:rsidRPr="002E5967">
        <w:t>20 September</w:t>
      </w:r>
      <w:r w:rsidR="00E804BD">
        <w:t xml:space="preserve"> 2019</w:t>
      </w:r>
      <w:r w:rsidR="008D6175">
        <w:t>).</w:t>
      </w:r>
    </w:p>
    <w:p w:rsidR="008D6175" w:rsidRDefault="00774A59" w:rsidP="00774A59">
      <w:pPr>
        <w:pStyle w:val="Heading5"/>
        <w:jc w:val="left"/>
      </w:pPr>
      <w:hyperlink r:id="rId14" w:history="1">
        <w:r w:rsidR="008D6175" w:rsidRPr="00775D80">
          <w:rPr>
            <w:rStyle w:val="Hyperlink"/>
          </w:rPr>
          <w:t>http://www.republika.co.id/berita/jurnalisme-warga/wacana/17/12/22/p1cv94396-lgbt-konspirasi-global-acaman-keluarga-indonesia</w:t>
        </w:r>
      </w:hyperlink>
      <w:r w:rsidR="008D6175">
        <w:t xml:space="preserve"> </w:t>
      </w:r>
    </w:p>
    <w:p w:rsidR="008D6175" w:rsidRDefault="00F52BDB" w:rsidP="008D6175">
      <w:pPr>
        <w:pStyle w:val="Heading5"/>
      </w:pPr>
      <w:hyperlink r:id="rId15" w:history="1">
        <w:r w:rsidRPr="00576A70">
          <w:rPr>
            <w:rStyle w:val="Hyperlink"/>
          </w:rPr>
          <w:t>https://nasional.sindonews.com/read/1277651/15/komunis-dan-lgbt-menjadi-kelompok-yang-paling-tak-disukai-di-indonesia-1517218449</w:t>
        </w:r>
      </w:hyperlink>
      <w:r>
        <w:t xml:space="preserve"> </w:t>
      </w:r>
    </w:p>
    <w:p w:rsidR="008D6175" w:rsidRDefault="000E3017" w:rsidP="008D6175">
      <w:pPr>
        <w:pStyle w:val="Heading5"/>
      </w:pPr>
      <w:hyperlink r:id="rId16" w:history="1">
        <w:r w:rsidRPr="00576A70">
          <w:rPr>
            <w:rStyle w:val="Hyperlink"/>
          </w:rPr>
          <w:t>http://mui.or.id/wp-content/uploads/2017/02/Lesbian-Gay-Sodomi-dan-Pencabulan.pdf</w:t>
        </w:r>
      </w:hyperlink>
    </w:p>
    <w:p w:rsidR="000E3017" w:rsidRPr="000E3017" w:rsidRDefault="000E3017" w:rsidP="000E3017">
      <w:pPr>
        <w:widowControl w:val="0"/>
        <w:autoSpaceDE w:val="0"/>
        <w:autoSpaceDN w:val="0"/>
        <w:adjustRightInd w:val="0"/>
        <w:spacing w:before="120" w:after="120" w:line="240" w:lineRule="exact"/>
        <w:ind w:left="480" w:hanging="480"/>
      </w:pPr>
    </w:p>
    <w:p w:rsidR="008D6175" w:rsidRPr="00833917" w:rsidRDefault="008D6175" w:rsidP="008D6175">
      <w:pPr>
        <w:rPr>
          <w:b/>
          <w:bCs/>
        </w:rPr>
      </w:pPr>
    </w:p>
    <w:sectPr w:rsidR="008D6175" w:rsidRPr="00833917" w:rsidSect="00C5141E">
      <w:headerReference w:type="default" r:id="rId17"/>
      <w:pgSz w:w="12240" w:h="15840"/>
      <w:pgMar w:top="1663"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13" w:rsidRDefault="00426E13" w:rsidP="00423118">
      <w:pPr>
        <w:spacing w:line="240" w:lineRule="auto"/>
      </w:pPr>
      <w:r>
        <w:separator/>
      </w:r>
    </w:p>
  </w:endnote>
  <w:endnote w:type="continuationSeparator" w:id="0">
    <w:p w:rsidR="00426E13" w:rsidRDefault="00426E13" w:rsidP="00423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13" w:rsidRDefault="00426E13" w:rsidP="00423118">
      <w:pPr>
        <w:spacing w:line="240" w:lineRule="auto"/>
      </w:pPr>
      <w:r>
        <w:separator/>
      </w:r>
    </w:p>
  </w:footnote>
  <w:footnote w:type="continuationSeparator" w:id="0">
    <w:p w:rsidR="00426E13" w:rsidRDefault="00426E13" w:rsidP="00423118">
      <w:pPr>
        <w:spacing w:line="240" w:lineRule="auto"/>
      </w:pPr>
      <w:r>
        <w:continuationSeparator/>
      </w:r>
    </w:p>
  </w:footnote>
  <w:footnote w:id="1">
    <w:p w:rsidR="001523F0" w:rsidRDefault="001523F0" w:rsidP="00B34161">
      <w:pPr>
        <w:pStyle w:val="FootnoteText"/>
      </w:pPr>
      <w:r>
        <w:rPr>
          <w:rStyle w:val="FootnoteReference"/>
        </w:rPr>
        <w:footnoteRef/>
      </w:r>
      <w:hyperlink r:id="rId1" w:history="1">
        <w:r w:rsidRPr="00775D80">
          <w:rPr>
            <w:rStyle w:val="Hyperlink"/>
          </w:rPr>
          <w:t>https://www.liputan6.com/global/read/2963642/4-kasus-lgbt-di-indonesia-yang-disorot-dunia</w:t>
        </w:r>
      </w:hyperlink>
      <w:r>
        <w:t xml:space="preserve"> (Diakses pada tanggal </w:t>
      </w:r>
      <w:r w:rsidRPr="00E804BD">
        <w:t>20 September</w:t>
      </w:r>
      <w:r>
        <w:t xml:space="preserve"> 2019).</w:t>
      </w:r>
    </w:p>
  </w:footnote>
  <w:footnote w:id="2">
    <w:p w:rsidR="001523F0" w:rsidRDefault="001523F0" w:rsidP="00B34161">
      <w:pPr>
        <w:pStyle w:val="FootnoteText"/>
      </w:pPr>
      <w:r>
        <w:rPr>
          <w:rStyle w:val="FootnoteReference"/>
        </w:rPr>
        <w:footnoteRef/>
      </w:r>
      <w:r>
        <w:t xml:space="preserve"> Lihat QS al-Syu’ar</w:t>
      </w:r>
      <w:r>
        <w:rPr>
          <w:rFonts w:cs="Times New Roman"/>
        </w:rPr>
        <w:t>ā</w:t>
      </w:r>
      <w:r>
        <w:t xml:space="preserve">/26 : 165-166; </w:t>
      </w:r>
    </w:p>
  </w:footnote>
  <w:footnote w:id="3">
    <w:p w:rsidR="001523F0" w:rsidRDefault="001523F0" w:rsidP="001F15B8">
      <w:pPr>
        <w:pStyle w:val="FootnoteText"/>
      </w:pPr>
      <w:r>
        <w:rPr>
          <w:rStyle w:val="FootnoteReference"/>
        </w:rPr>
        <w:footnoteRef/>
      </w:r>
      <w:r>
        <w:t xml:space="preserve"> </w:t>
      </w:r>
      <w:r>
        <w:fldChar w:fldCharType="begin" w:fldLock="1"/>
      </w:r>
      <w:r>
        <w:instrText>ADDIN CSL_CITATION {"citationItems":[{"id":"ITEM-1","itemData":{"DOI":"10.1146/annurev-clinpsy-021815-093153","ISSN":"1548-5943","PMID":"26772206","abstract":"Today's lesbian, gay, bisexual, and transgender (LGBT) youth come out at younger ages, and public support for LGBT issues has dramatically increased, so why do LGBT youth continue to be at high risk for compromised mental health? We provide an overview of the contemporary context for LGBT youth, followed by a review of current science on LGBT youth mental health. Research in the past decade has identified risk and protective factors for mental health, which point to promising directions for prevention, intervention, and treatment. Legal and policy successes have set the stage for advances in programs and practices that may foster LGBT youth mental health. Implications for clinical care are discussed, and important areas for new research and practice are identified. ","author":[{"dropping-particle":"","family":"Russell","given":"Stephen T.","non-dropping-particle":"","parse-names":false,"suffix":""},{"dropping-particle":"","family":"Fish","given":"Jessica N.","non-dropping-particle":"","parse-names":false,"suffix":""}],"container-title":"Annual Review of Clinical Psychology","id":"ITEM-1","issued":{"date-parts":[["2016"]]},"title":"Mental Health in Lesbian, Gay, Bisexual, and Transgender (LGBT) Youth","type":"article-journal"},"uris":["http://www.mendeley.com/documents/?uuid=0a172eb0-acdc-4ed4-a613-ce30c1d894c4","http://www.mendeley.com/documents/?uuid=0f73019a-251d-44ac-b957-17b5dd53a648"]}],"mendeley":{"formattedCitation":"Stephen T. Russell dan Jessica N. Fish, “Mental Health in Lesbian, Gay, Bisexual, and Transgender (LGBT) Youth,” &lt;i&gt;Annual Review of Clinical Psychology&lt;/i&gt;, 2016 &lt;https://doi.org/10.1146/annurev-clinpsy-021815-093153&gt;.","plainTextFormattedCitation":"Stephen T. Russell dan Jessica N. Fish, “Mental Health in Lesbian, Gay, Bisexual, and Transgender (LGBT) Youth,” Annual Review of Clinical Psychology, 2016 .","previouslyFormattedCitation":"Stephen T. Russell dan Jessica N. Fish, “Mental Health in Lesbian, Gay, Bisexual, and Transgender (LGBT) Youth,” &lt;i&gt;Annual Review of Clinical Psychology&lt;/i&gt;, 2016 &lt;https://doi.org/10.1146/annurev-clinpsy-021815-093153&gt;."},"properties":{"noteIndex":3},"schema":"https://github.com/citation-style-language/schema/raw/master/csl-citation.json"}</w:instrText>
      </w:r>
      <w:r>
        <w:fldChar w:fldCharType="separate"/>
      </w:r>
      <w:r w:rsidRPr="001F15B8">
        <w:t xml:space="preserve">Stephen T. Russell dan Jessica N. Fish, “Mental Health in Lesbian, Gay, Bisexual, and Transgender (LGBT) Youth,” </w:t>
      </w:r>
      <w:r w:rsidRPr="001F15B8">
        <w:rPr>
          <w:i/>
        </w:rPr>
        <w:t>Annual Review of Clinical Psychology</w:t>
      </w:r>
      <w:r w:rsidRPr="001F15B8">
        <w:t>, 2016 &lt;https://doi.org/10.1146/annurev-clinpsy-021815-093153&gt;.</w:t>
      </w:r>
      <w:r>
        <w:fldChar w:fldCharType="end"/>
      </w:r>
      <w:r>
        <w:t xml:space="preserve"> h. 465-466.</w:t>
      </w:r>
    </w:p>
  </w:footnote>
  <w:footnote w:id="4">
    <w:p w:rsidR="001523F0" w:rsidRPr="006B7C86" w:rsidRDefault="001523F0" w:rsidP="006B7C86">
      <w:pPr>
        <w:pStyle w:val="FootnoteText"/>
      </w:pPr>
      <w:r>
        <w:rPr>
          <w:rStyle w:val="FootnoteReference"/>
        </w:rPr>
        <w:footnoteRef/>
      </w:r>
      <w:r>
        <w:t xml:space="preserve"> </w:t>
      </w:r>
      <w:r w:rsidRPr="006B7C86">
        <w:fldChar w:fldCharType="begin" w:fldLock="1"/>
      </w:r>
      <w:r>
        <w:instrText>ADDIN CSL_CITATION {"citationItems":[{"id":"ITEM-1","itemData":{"DOI":"10.1089/trgh.2015.0001","ISSN":"2380-193X","abstract":"Abstract Purpose: This study assessed within a Midwestern LGBT population whether, and the extent to which, transgender identity was associated with elevated odds of reported discrimination, depression symptoms, and suicide attempts. Methods: Based on survey data collected online from respondents who self-identified as lesbian, gay, bisexual, and/or transgender persons over the age of 19 in Nebraska in 2010, this study performed bivariate t- or chi-square tests and multivariate logistic regression analysis to examine differences in reported discrimination, depression symptoms, suicide attempts, and self-acceptance of LGBT identity between 91 transgender and 676 nontransgender respondents. Results: After controlling for the effects of selected confounders, transgender identity was associated with higher odds of reported discrimination (OR=2.63, p&lt;0.01), depression symptoms (OR=2.33, p&lt;0.05), and attempted suicides (OR=2.59, p&lt;0.01) when compared with nontransgender individuals. Self-acceptance of LGBT iden...","author":[{"dropping-particle":"","family":"Su","given":"Dejun","non-dropping-particle":"","parse-names":false,"suffix":""},{"dropping-particle":"","family":"Irwin","given":"Jay A.","non-dropping-particle":"","parse-names":false,"suffix":""},{"dropping-particle":"","family":"Fisher","given":"Christopher","non-dropping-particle":"","parse-names":false,"suffix":""},{"dropping-particle":"","family":"Ramos","given":"Athena","non-dropping-particle":"","parse-names":false,"suffix":""},{"dropping-particle":"","family":"Kelley","given":"Megan","non-dropping-particle":"","parse-names":false,"suffix":""},{"dropping-particle":"","family":"Mendoza","given":"Diana Ariss Rogel","non-dropping-particle":"","parse-names":false,"suffix":""},{"dropping-particle":"","family":"Coleman","given":"Jason D.","non-dropping-particle":"","parse-names":false,"suffix":""}],"container-title":"Transgender Health","id":"ITEM-1","issue":"1","issued":{"date-parts":[["2016"]]},"page":"12-20","title":"Mental Health Disparities Within the LGBT Population: A Comparison Between Transgender and Nontransgender Individuals","type":"article-journal","volume":"1"},"uris":["http://www.mendeley.com/documents/?uuid=e1bc6cc4-5894-4275-b0de-f94e57053701"]}],"mendeley":{"formattedCitation":"Dejun Su et al., “Mental Health Disparities Within the LGBT Population: A Comparison Between Transgender and Nontransgender Individuals,” &lt;i&gt;Transgender Health&lt;/i&gt;, 1.1 (2016), 12–20 &lt;https://doi.org/10.1089/trgh.2015.0001&gt;.","manualFormatting":"Dejun Su et al., “Mental Health Disparities Within the LGBT Population: A Comparison Between Transgender and Nontransgender Individuals,” Transgender Health, 1.1 (2016), h. 12–20 .","plainTextFormattedCitation":"Dejun Su et al., “Mental Health Disparities Within the LGBT Population: A Comparison Between Transgender and Nontransgender Individuals,” Transgender Health, 1.1 (2016), 12–20 .","previouslyFormattedCitation":"Dejun Su et al., “Mental Health Disparities Within the LGBT Population: A Comparison Between Transgender and Nontransgender Individuals,” &lt;i&gt;Transgender Health&lt;/i&gt;, 1.1 (2016), 12–20 &lt;https://doi.org/10.1089/trgh.2015.0001&gt;."},"properties":{"noteIndex":4},"schema":"https://github.com/citation-style-language/schema/raw/master/csl-citation.json"}</w:instrText>
      </w:r>
      <w:r w:rsidRPr="006B7C86">
        <w:fldChar w:fldCharType="separate"/>
      </w:r>
      <w:r w:rsidRPr="006B7C86">
        <w:t>Dejun Su et al., “Mental Health Disparities Within the LGBT Population: A Comparison Between Transgender and Nontransgender Individuals,” Transgender Health, 1.1 (2016), h. 12–20 &lt;https://doi.org/10.1089/trgh.2015.0001&gt;.</w:t>
      </w:r>
      <w:r w:rsidRPr="006B7C86">
        <w:fldChar w:fldCharType="end"/>
      </w:r>
    </w:p>
  </w:footnote>
  <w:footnote w:id="5">
    <w:p w:rsidR="001523F0" w:rsidRDefault="001523F0" w:rsidP="006B7C86">
      <w:pPr>
        <w:pStyle w:val="FootnoteText"/>
      </w:pPr>
      <w:r w:rsidRPr="006B7C86">
        <w:rPr>
          <w:rStyle w:val="FootnoteReference"/>
          <w:vertAlign w:val="baseline"/>
        </w:rPr>
        <w:footnoteRef/>
      </w:r>
      <w:r w:rsidRPr="006B7C86">
        <w:t xml:space="preserve"> </w:t>
      </w:r>
      <w:r w:rsidRPr="006B7C86">
        <w:fldChar w:fldCharType="begin" w:fldLock="1"/>
      </w:r>
      <w:r>
        <w:instrText>ADDIN CSL_CITATION {"citationItems":[{"id":"ITEM-1","itemData":{"ISSN":"1054-8289","author":[{"dropping-particle":"","family":"Gates","given":"Gary J","non-dropping-particle":"","parse-names":false,"suffix":""}],"container-title":"The Future of Children","id":"ITEM-1","issued":{"date-parts":[["2015"]]},"page":"67-87","publisher":"JSTOR","title":"Marriage and family: LGBT individuals and same-sex couples","type":"article-journal"},"uris":["http://www.mendeley.com/documents/?uuid=f62de9e3-578a-4e1d-bc74-baa573d8ac4c"]}],"mendeley":{"formattedCitation":"Gary J Gates, “Marriage and family: LGBT individuals and same-sex couples,” &lt;i&gt;The Future of Children&lt;/i&gt;, 2015, 67–87.","manualFormatting":"Gary J Gates, “Marriage and family: LGBT individuals and same-sex couples,” The Future of Children, 2015, h. 67–87.","plainTextFormattedCitation":"Gary J Gates, “Marriage and family: LGBT individuals and same-sex couples,” The Future of Children, 2015, 67–87.","previouslyFormattedCitation":"Gary J Gates, “Marriage and family: LGBT individuals and same-sex couples,” &lt;i&gt;The Future of Children&lt;/i&gt;, 2015, 67–87."},"properties":{"noteIndex":5},"schema":"https://github.com/citation-style-language/schema/raw/master/csl-citation.json"}</w:instrText>
      </w:r>
      <w:r w:rsidRPr="006B7C86">
        <w:fldChar w:fldCharType="separate"/>
      </w:r>
      <w:r w:rsidRPr="006B7C86">
        <w:t>Gary J Gates, “Marriage and family: LGBT individuals and same-sex couples,” The Future of Children, 2015, h. 67–87.</w:t>
      </w:r>
      <w:r w:rsidRPr="006B7C86">
        <w:fldChar w:fldCharType="end"/>
      </w:r>
    </w:p>
  </w:footnote>
  <w:footnote w:id="6">
    <w:p w:rsidR="001523F0" w:rsidRDefault="001523F0" w:rsidP="00B34161">
      <w:pPr>
        <w:pStyle w:val="FootnoteText"/>
      </w:pPr>
      <w:r>
        <w:rPr>
          <w:rStyle w:val="FootnoteReference"/>
        </w:rPr>
        <w:footnoteRef/>
      </w:r>
      <w:r>
        <w:t xml:space="preserve"> </w:t>
      </w:r>
      <w:hyperlink r:id="rId2" w:history="1">
        <w:r w:rsidRPr="00775D80">
          <w:rPr>
            <w:rStyle w:val="Hyperlink"/>
          </w:rPr>
          <w:t>https://nasional.tempo.co/read/1044655/pakar-hukum-ada-kekosongan-hukum-tentang-lgbt-di-indonesia</w:t>
        </w:r>
      </w:hyperlink>
      <w:r>
        <w:t xml:space="preserve"> (Edisi terbit tanggal 27 Desember 2017).</w:t>
      </w:r>
    </w:p>
  </w:footnote>
  <w:footnote w:id="7">
    <w:p w:rsidR="001523F0" w:rsidRDefault="001523F0" w:rsidP="00B34161">
      <w:pPr>
        <w:pStyle w:val="FootnoteText"/>
      </w:pPr>
      <w:r>
        <w:rPr>
          <w:rStyle w:val="FootnoteReference"/>
        </w:rPr>
        <w:footnoteRef/>
      </w:r>
      <w:r>
        <w:t xml:space="preserve"> </w:t>
      </w:r>
      <w:hyperlink r:id="rId3" w:history="1">
        <w:r w:rsidRPr="00775D80">
          <w:rPr>
            <w:rStyle w:val="Hyperlink"/>
          </w:rPr>
          <w:t>http://www.republika.co.id/berita/jurnalisme-warga/wacana/16/01/28/o1n41d336-menelisik-perjalanan-lgbt-di-indonesia</w:t>
        </w:r>
      </w:hyperlink>
      <w:r>
        <w:t xml:space="preserve"> (Diakses pada tanggal </w:t>
      </w:r>
      <w:r w:rsidRPr="00E804BD">
        <w:t>20 September</w:t>
      </w:r>
      <w:r>
        <w:t xml:space="preserve"> 2019).</w:t>
      </w:r>
    </w:p>
  </w:footnote>
  <w:footnote w:id="8">
    <w:p w:rsidR="001523F0" w:rsidRDefault="001523F0" w:rsidP="00B34161">
      <w:pPr>
        <w:pStyle w:val="FootnoteText"/>
      </w:pPr>
      <w:r>
        <w:rPr>
          <w:rStyle w:val="FootnoteReference"/>
        </w:rPr>
        <w:footnoteRef/>
      </w:r>
      <w:r>
        <w:t xml:space="preserve"> </w:t>
      </w:r>
      <w:hyperlink r:id="rId4" w:history="1">
        <w:r w:rsidRPr="00775D80">
          <w:rPr>
            <w:rStyle w:val="Hyperlink"/>
          </w:rPr>
          <w:t>http://www.re</w:t>
        </w:r>
        <w:r w:rsidRPr="00775D80">
          <w:rPr>
            <w:rStyle w:val="Hyperlink"/>
          </w:rPr>
          <w:t>p</w:t>
        </w:r>
        <w:r w:rsidRPr="00775D80">
          <w:rPr>
            <w:rStyle w:val="Hyperlink"/>
          </w:rPr>
          <w:t>ublika.co.id/berita/jurnalisme-warga/wacana/16/01/28/o1n41d336-menelisik-perjalanan-lgbt-di-indonesia</w:t>
        </w:r>
      </w:hyperlink>
      <w:r>
        <w:t xml:space="preserve"> (Diakses pada tanggal </w:t>
      </w:r>
      <w:r w:rsidRPr="00E804BD">
        <w:t>20 September</w:t>
      </w:r>
      <w:r>
        <w:t xml:space="preserve"> 2019).</w:t>
      </w:r>
    </w:p>
  </w:footnote>
  <w:footnote w:id="9">
    <w:p w:rsidR="001523F0" w:rsidRDefault="001523F0" w:rsidP="00B34161">
      <w:pPr>
        <w:pStyle w:val="FootnoteText"/>
      </w:pPr>
      <w:r>
        <w:rPr>
          <w:rStyle w:val="FootnoteReference"/>
        </w:rPr>
        <w:footnoteRef/>
      </w:r>
      <w:hyperlink r:id="rId5" w:history="1">
        <w:r w:rsidRPr="00775D80">
          <w:rPr>
            <w:rStyle w:val="Hyperlink"/>
          </w:rPr>
          <w:t>http://www.republika.co.id/berita/jurnalisme-warga/wacana/16/01/28/</w:t>
        </w:r>
        <w:r w:rsidRPr="00775D80">
          <w:rPr>
            <w:rStyle w:val="Hyperlink"/>
          </w:rPr>
          <w:t>o</w:t>
        </w:r>
        <w:r w:rsidRPr="00775D80">
          <w:rPr>
            <w:rStyle w:val="Hyperlink"/>
          </w:rPr>
          <w:t>1n41d336-menelisik-perjalanan-lgbt-di-indonesia</w:t>
        </w:r>
      </w:hyperlink>
      <w:r>
        <w:t xml:space="preserve"> (Diakses pada tanggal </w:t>
      </w:r>
      <w:r w:rsidRPr="00E804BD">
        <w:t>20 September</w:t>
      </w:r>
      <w:r>
        <w:t xml:space="preserve"> 2019).</w:t>
      </w:r>
    </w:p>
  </w:footnote>
  <w:footnote w:id="10">
    <w:p w:rsidR="001523F0" w:rsidRDefault="001523F0" w:rsidP="00B34161">
      <w:pPr>
        <w:pStyle w:val="FootnoteText"/>
      </w:pPr>
      <w:r>
        <w:rPr>
          <w:rStyle w:val="FootnoteReference"/>
        </w:rPr>
        <w:footnoteRef/>
      </w:r>
      <w:hyperlink r:id="rId6" w:history="1">
        <w:r w:rsidRPr="00775D80">
          <w:rPr>
            <w:rStyle w:val="Hyperlink"/>
          </w:rPr>
          <w:t>http://www.republika.co.id/berita/jurnalisme-warga/wacana/16/01/28/o1n41d336-menelisik-perjalanan-lgbt-di-indonesia</w:t>
        </w:r>
      </w:hyperlink>
      <w:r>
        <w:t xml:space="preserve">  (Diakses pada tanggal </w:t>
      </w:r>
      <w:r w:rsidRPr="00E804BD">
        <w:t>20 September</w:t>
      </w:r>
      <w:r>
        <w:t xml:space="preserve"> 2019).</w:t>
      </w:r>
    </w:p>
  </w:footnote>
  <w:footnote w:id="11">
    <w:p w:rsidR="001523F0" w:rsidRDefault="001523F0" w:rsidP="00B34161">
      <w:pPr>
        <w:pStyle w:val="FootnoteText"/>
      </w:pPr>
      <w:r>
        <w:rPr>
          <w:rStyle w:val="FootnoteReference"/>
        </w:rPr>
        <w:footnoteRef/>
      </w:r>
      <w:hyperlink r:id="rId7" w:history="1">
        <w:r w:rsidRPr="00775D80">
          <w:rPr>
            <w:rStyle w:val="Hyperlink"/>
          </w:rPr>
          <w:t>http://www.republika.co.id/berita/jurnalisme-warga/wacana/16/01/28/o1n41d336-menelisik-perjalanan-lgbt-di-indonesia</w:t>
        </w:r>
      </w:hyperlink>
      <w:r>
        <w:t xml:space="preserve">  (Diakses pada tanggal </w:t>
      </w:r>
      <w:r w:rsidRPr="00E804BD">
        <w:t>20 September</w:t>
      </w:r>
      <w:r>
        <w:t xml:space="preserve"> 2019).</w:t>
      </w:r>
    </w:p>
  </w:footnote>
  <w:footnote w:id="12">
    <w:p w:rsidR="001523F0" w:rsidRDefault="001523F0" w:rsidP="006B7C86">
      <w:pPr>
        <w:pStyle w:val="FootnoteText"/>
      </w:pPr>
      <w:r>
        <w:rPr>
          <w:rStyle w:val="FootnoteReference"/>
        </w:rPr>
        <w:footnoteRef/>
      </w:r>
      <w:r>
        <w:t xml:space="preserve"> </w:t>
      </w:r>
      <w:r>
        <w:fldChar w:fldCharType="begin" w:fldLock="1"/>
      </w:r>
      <w:r>
        <w:instrText>ADDIN CSL_CITATION {"citationItems":[{"id":"ITEM-1","itemData":{"abstract":"Laporan ini merupakan hasil dokumentasi berbagai presentasi dan diskusi dalam Dialog Komunitas LGBT Nasional Indonesia yang diselenggarakan pada 13-14 Juni 2013 di Bali. Informasi tambahan diperoleh melalui wawancara dengan para peserta dialog dan kajian pustaka. Harap dicatat bahwa karena adanya perubahan advokasi dan politik komunitas LGBT yang terus berlangsung, maka kemungkinan ada perkembangan mutakhir yang belum tercakup dalam laporan ini pada saat diterbitkan. Panitia penyelenggara menyampaikan ucapan terima kasih kepada seluruh peserta atas partisipasi mereka selama Dialog dan atas masukan berharga yang disampaikan untuk laporan ini. Daftar organisasi dan peserta dapat ditemukan dalam Lampiran 1 dan 2. Laporan ini ditulis oleh: Dédé Oetomo dan Khanis Suvianita, dibantu oleh Kevin Stevanus Senjaya Halim, Jamison Liang, Safir Soeparna dan Luluk Surahman. Semua foto dalam laporan ini menampilkan peserta Dialog Komunitas LGBT Nasional Indonesia. Foto-foto disediakan oleh Deni Ahmad Fauzi dari UNDP Indonesia Komentar dan saran yang berharga mengenai naskah awal laporan ini telah diberikan oleh Thomas White sebagai Wakil Direktur Governance and Vulnerable Populations Office di USAID Regional Development Mission Asia (RDMA), Ajit Joshi Penasehat Senior LGBT dan Vy Lam, American Association for the Advancement of Science and Technology fellow, USAID Washington, DC; dan Edmund Settle sebagai Penasihat Kebijakan, serta Saurav Jung Thapa sebagai Pejabat Teknis Hak Asasi LGBT dan HAM dari Pusat Regional Asia-Pasifik UNDP. Penyuntingan naskah laporan dilakukan oleh Andy Quan.","author":[{"dropping-particle":"","family":"Dédé Oetomo","given":"Khanis Suvianita","non-dropping-particle":"","parse-names":false,"suffix":""}],"container-title":"Laporan LGBT Nasional Indonesia","edition":"Cet.I","id":"ITEM-1","issued":{"date-parts":[["2013"]]},"number-of-pages":"3-55","publisher":"UNDP","publisher-place":"Bali","title":"Hidup Sebagai LGBT di Asia","type":"book"},"uris":["http://www.mendeley.com/documents/?uuid=d46d8048-237b-42bd-9c67-5e0c17e0c30f"]}],"mendeley":{"formattedCitation":"Khanis Suvianita Dédé Oetomo, &lt;i&gt;Hidup Sebagai LGBT di Asia&lt;/i&gt;, &lt;i&gt;Laporan LGBT Nasional Indonesia&lt;/i&gt;, Cet.I (Bali: UNDP, 2013).","manualFormatting":"Khanis Suvianita Dédé Oetomo, Hidup Sebagai LGBT di Asia, Laporan LGBT Nasional Indonesia, Cet.I (Bali: UNDP, 2013)","plainTextFormattedCitation":"Khanis Suvianita Dédé Oetomo, Hidup Sebagai LGBT di Asia, Laporan LGBT Nasional Indonesia, Cet.I (Bali: UNDP, 2013).","previouslyFormattedCitation":"Khanis Suvianita Dédé Oetomo, &lt;i&gt;Hidup Sebagai LGBT di Asia&lt;/i&gt;, &lt;i&gt;Laporan LGBT Nasional Indonesia&lt;/i&gt;, Cet.I (Bali: UNDP, 2013)."},"properties":{"noteIndex":12},"schema":"https://github.com/citation-style-language/schema/raw/master/csl-citation.json"}</w:instrText>
      </w:r>
      <w:r>
        <w:fldChar w:fldCharType="separate"/>
      </w:r>
      <w:r w:rsidRPr="00A056FC">
        <w:t xml:space="preserve">Khanis Suvianita Dédé Oetomo, </w:t>
      </w:r>
      <w:r w:rsidRPr="00A056FC">
        <w:rPr>
          <w:i/>
        </w:rPr>
        <w:t>Hidup Sebagai LGBT di Asia</w:t>
      </w:r>
      <w:r w:rsidRPr="00A056FC">
        <w:t xml:space="preserve">, </w:t>
      </w:r>
      <w:r w:rsidRPr="00A056FC">
        <w:rPr>
          <w:i/>
        </w:rPr>
        <w:t>Laporan LGBT Nasional Indonesia</w:t>
      </w:r>
      <w:r w:rsidRPr="00A056FC">
        <w:t>, Cet.I (Bali: UNDP, 2013)</w:t>
      </w:r>
      <w:r>
        <w:fldChar w:fldCharType="end"/>
      </w:r>
      <w:r>
        <w:t>,  h.3-6</w:t>
      </w:r>
    </w:p>
  </w:footnote>
  <w:footnote w:id="13">
    <w:p w:rsidR="001523F0" w:rsidRDefault="001523F0" w:rsidP="00B34161">
      <w:pPr>
        <w:pStyle w:val="FootnoteText"/>
      </w:pPr>
      <w:r>
        <w:rPr>
          <w:rStyle w:val="FootnoteReference"/>
        </w:rPr>
        <w:footnoteRef/>
      </w:r>
      <w:hyperlink r:id="rId8" w:history="1">
        <w:r w:rsidRPr="00775D80">
          <w:rPr>
            <w:rStyle w:val="Hyperlink"/>
          </w:rPr>
          <w:t>http://www.republika.co.id/berita/jurnalisme-warga/wacana/17/12/22/p1cv94396-lgbt-konspirasi-global-acaman-keluarga-indonesia</w:t>
        </w:r>
      </w:hyperlink>
      <w:r>
        <w:t xml:space="preserve"> </w:t>
      </w:r>
    </w:p>
  </w:footnote>
  <w:footnote w:id="14">
    <w:p w:rsidR="001523F0" w:rsidRDefault="001523F0" w:rsidP="00B34161">
      <w:pPr>
        <w:pStyle w:val="FootnoteText"/>
      </w:pPr>
      <w:r>
        <w:rPr>
          <w:rStyle w:val="FootnoteReference"/>
        </w:rPr>
        <w:footnoteRef/>
      </w:r>
      <w:hyperlink r:id="rId9" w:history="1">
        <w:r w:rsidRPr="00576A70">
          <w:rPr>
            <w:rStyle w:val="Hyperlink"/>
          </w:rPr>
          <w:t>https://nasional.sindonews.com/read/1277651/15/komunis-dan-lgbt-menjadi-kelompok-yang-paling-tak-disukai-di-indonesia-1517218449</w:t>
        </w:r>
      </w:hyperlink>
      <w:r>
        <w:t xml:space="preserve"> </w:t>
      </w:r>
    </w:p>
  </w:footnote>
  <w:footnote w:id="15">
    <w:p w:rsidR="001523F0" w:rsidRDefault="001523F0" w:rsidP="0040588B">
      <w:pPr>
        <w:pStyle w:val="FootnoteText"/>
      </w:pPr>
      <w:r>
        <w:rPr>
          <w:rStyle w:val="FootnoteReference"/>
        </w:rPr>
        <w:footnoteRef/>
      </w:r>
      <w:r>
        <w:t xml:space="preserve"> </w:t>
      </w:r>
      <w:r>
        <w:fldChar w:fldCharType="begin" w:fldLock="1"/>
      </w:r>
      <w:r>
        <w:instrText>ADDIN CSL_CITATION {"citationItems":[{"id":"ITEM-1","itemData":{"DOI":"10.1016/j.sbspro.2014.01.029","ISSN":"18770428","abstract":"In this study, I examined the social problems LGBT individuals go through in their hometowns and later, in the places they move to. Data were collected using semistructured interviews that included thirty four open - and close-ended questions. The sample is compsosed of 18 male and 12 female participants which makes 30 in total, residing in any city in Turkey. The findings demonstrate that LGBT individuals are exposed to verbal harassment and physical abuse, they are not accepted and are not able to perform social activities in their hometowns or if they migrated, in the places they moved to.","author":[{"dropping-particle":"","family":"Biçmen","given":"Zümrüt","non-dropping-particle":"","parse-names":false,"suffix":""},{"dropping-particle":"","family":"Bekiroğulları","given":"Zafer","non-dropping-particle":"","parse-names":false,"suffix":""}],"container-title":"Procedia - Social and Behavioral Sciences","id":"ITEM-1","issued":{"date-parts":[["2014"]]},"page":"224-233","title":"Social Problems of LGBT People in Turkey","type":"article-journal","volume":"113"},"uris":["http://www.mendeley.com/documents/?uuid=27cc95d8-7ba7-494c-b241-8d503d7b1b68"]}],"mendeley":{"formattedCitation":"Zümrüt Biçmen dan Zafer Bekiroğulları, “Social Problems of LGBT People in Turkey,” &lt;i&gt;Procedia - Social and Behavioral Sciences&lt;/i&gt;, 113 (2014), 224–33 &lt;https://doi.org/10.1016/j.sbspro.2014.01.029&gt;.","manualFormatting":"Zümrüt Biçmen dan Zafer Bekiroğulları, “Social Problems of LGBT People in Turkey,” Procedia - Social and Behavioral Sciences, 113 (2014), h. 224–33 .","plainTextFormattedCitation":"Zümrüt Biçmen dan Zafer Bekiroğulları, “Social Problems of LGBT People in Turkey,” Procedia - Social and Behavioral Sciences, 113 (2014), 224–33 .","previouslyFormattedCitation":"Zümrüt Biçmen dan Zafer Bekiroğulları, “Social Problems of LGBT People in Turkey,” &lt;i&gt;Procedia - Social and Behavioral Sciences&lt;/i&gt;, 113 (2014), 224–33 &lt;https://doi.org/10.1016/j.sbspro.2014.01.029&gt;."},"properties":{"noteIndex":15},"schema":"https://github.com/citation-style-language/schema/raw/master/csl-citation.json"}</w:instrText>
      </w:r>
      <w:r>
        <w:fldChar w:fldCharType="separate"/>
      </w:r>
      <w:r w:rsidRPr="0040588B">
        <w:t xml:space="preserve">Zümrüt Biçmen dan Zafer Bekiroğulları, “Social Problems of LGBT People in Turkey,” </w:t>
      </w:r>
      <w:r w:rsidRPr="0040588B">
        <w:rPr>
          <w:i/>
        </w:rPr>
        <w:t>Procedia - Social and Behavioral Sciences</w:t>
      </w:r>
      <w:r w:rsidRPr="0040588B">
        <w:t xml:space="preserve">, 113 (2014), </w:t>
      </w:r>
      <w:r>
        <w:t xml:space="preserve">h. </w:t>
      </w:r>
      <w:r w:rsidRPr="0040588B">
        <w:t>224–33 &lt;https://doi.org/10.1016/j.sbspro.</w:t>
      </w:r>
      <w:r>
        <w:t xml:space="preserve"> </w:t>
      </w:r>
      <w:r w:rsidRPr="0040588B">
        <w:t>2014.01.029&gt;.</w:t>
      </w:r>
      <w:r>
        <w:fldChar w:fldCharType="end"/>
      </w:r>
    </w:p>
  </w:footnote>
  <w:footnote w:id="16">
    <w:p w:rsidR="001523F0" w:rsidRDefault="001523F0" w:rsidP="00EF243E">
      <w:pPr>
        <w:pStyle w:val="FootnoteText"/>
      </w:pPr>
      <w:r>
        <w:rPr>
          <w:rStyle w:val="FootnoteReference"/>
        </w:rPr>
        <w:footnoteRef/>
      </w:r>
      <w:r>
        <w:t xml:space="preserve">Lebih lanjut lihat  Fatwa MUI tentang Lesbian, Gay, Sodomi dan Pencabulan dalam </w:t>
      </w:r>
      <w:hyperlink r:id="rId10" w:history="1">
        <w:r>
          <w:rPr>
            <w:rStyle w:val="Hyperlink"/>
          </w:rPr>
          <w:t>https://lampung.kemenag.go.id/files/lampung/file/file/MUI/xdob14606</w:t>
        </w:r>
        <w:r>
          <w:rPr>
            <w:rStyle w:val="Hyperlink"/>
          </w:rPr>
          <w:t>8</w:t>
        </w:r>
        <w:r>
          <w:rPr>
            <w:rStyle w:val="Hyperlink"/>
          </w:rPr>
          <w:t>3589.pdf</w:t>
        </w:r>
      </w:hyperlink>
    </w:p>
  </w:footnote>
  <w:footnote w:id="17">
    <w:p w:rsidR="001523F0" w:rsidRPr="00257331" w:rsidRDefault="001523F0" w:rsidP="00B34161">
      <w:pPr>
        <w:pStyle w:val="FootnoteText"/>
      </w:pPr>
      <w:r>
        <w:rPr>
          <w:rStyle w:val="FootnoteReference"/>
        </w:rPr>
        <w:footnoteRef/>
      </w:r>
      <w:r>
        <w:t xml:space="preserve"> Kementrian Agama RI. </w:t>
      </w:r>
      <w:r>
        <w:rPr>
          <w:i/>
          <w:iCs/>
        </w:rPr>
        <w:t xml:space="preserve">Alquran dan Terjemahnya </w:t>
      </w:r>
      <w:r>
        <w:t>(Semarang: Toha Putra Semarang, 2014), h. 585</w:t>
      </w:r>
    </w:p>
  </w:footnote>
  <w:footnote w:id="18">
    <w:p w:rsidR="001523F0" w:rsidRPr="00322129" w:rsidRDefault="001523F0" w:rsidP="00B34161">
      <w:pPr>
        <w:pStyle w:val="FootnoteText"/>
      </w:pPr>
      <w:r>
        <w:rPr>
          <w:rStyle w:val="FootnoteReference"/>
        </w:rPr>
        <w:footnoteRef/>
      </w:r>
      <w:r>
        <w:t xml:space="preserve"> Kementrian Agama RI. </w:t>
      </w:r>
      <w:r>
        <w:rPr>
          <w:i/>
          <w:iCs/>
        </w:rPr>
        <w:t xml:space="preserve">Alquran dn Terjemahnya, </w:t>
      </w:r>
      <w:r>
        <w:t xml:space="preserve"> h. 8</w:t>
      </w:r>
    </w:p>
  </w:footnote>
  <w:footnote w:id="19">
    <w:p w:rsidR="001523F0" w:rsidRDefault="001523F0" w:rsidP="00B34161">
      <w:pPr>
        <w:pStyle w:val="FootnoteText"/>
      </w:pPr>
      <w:r>
        <w:rPr>
          <w:rStyle w:val="FootnoteReference"/>
        </w:rPr>
        <w:footnoteRef/>
      </w:r>
      <w:r>
        <w:t xml:space="preserve">Kementrian Agama RI. </w:t>
      </w:r>
      <w:r>
        <w:rPr>
          <w:i/>
          <w:iCs/>
        </w:rPr>
        <w:t>Alquran dn Terjemahnya</w:t>
      </w:r>
      <w:proofErr w:type="gramStart"/>
      <w:r>
        <w:rPr>
          <w:i/>
          <w:iCs/>
        </w:rPr>
        <w:t xml:space="preserve">, </w:t>
      </w:r>
      <w:r>
        <w:t xml:space="preserve"> h</w:t>
      </w:r>
      <w:proofErr w:type="gramEnd"/>
      <w:r>
        <w:t xml:space="preserve">. 234. </w:t>
      </w:r>
    </w:p>
  </w:footnote>
  <w:footnote w:id="20">
    <w:p w:rsidR="001523F0" w:rsidRDefault="001523F0" w:rsidP="00B34161">
      <w:pPr>
        <w:pStyle w:val="FootnoteText"/>
      </w:pPr>
      <w:r>
        <w:rPr>
          <w:rStyle w:val="FootnoteReference"/>
        </w:rPr>
        <w:footnoteRef/>
      </w:r>
      <w:r>
        <w:t xml:space="preserve"> Imām Abū Dāwūd, </w:t>
      </w:r>
      <w:r w:rsidRPr="00634CDE">
        <w:rPr>
          <w:i/>
          <w:iCs/>
        </w:rPr>
        <w:t>Sunan Abī Dāwūd</w:t>
      </w:r>
      <w:r>
        <w:t>, Juz VII (Beirut: Dār al-Kutub al-‘Ilmiyyah, t.th), h. 157.</w:t>
      </w:r>
    </w:p>
  </w:footnote>
  <w:footnote w:id="21">
    <w:p w:rsidR="001523F0" w:rsidRPr="00291F5A" w:rsidRDefault="001523F0" w:rsidP="00C66062">
      <w:pPr>
        <w:pStyle w:val="FootnoteText"/>
      </w:pPr>
      <w:r>
        <w:rPr>
          <w:rStyle w:val="FootnoteReference"/>
        </w:rPr>
        <w:footnoteRef/>
      </w:r>
      <w:r>
        <w:t xml:space="preserve"> Ab</w:t>
      </w:r>
      <w:r>
        <w:rPr>
          <w:rFonts w:cs="Times New Roman"/>
        </w:rPr>
        <w:t>ū</w:t>
      </w:r>
      <w:r>
        <w:t xml:space="preserve"> Is</w:t>
      </w:r>
      <w:r>
        <w:rPr>
          <w:rFonts w:cs="Times New Roman"/>
        </w:rPr>
        <w:t>ḥ</w:t>
      </w:r>
      <w:r>
        <w:t>aq al-Sy</w:t>
      </w:r>
      <w:r>
        <w:rPr>
          <w:rFonts w:cs="Times New Roman"/>
        </w:rPr>
        <w:t>āṭ</w:t>
      </w:r>
      <w:r>
        <w:t>ib</w:t>
      </w:r>
      <w:r>
        <w:rPr>
          <w:rFonts w:cs="Times New Roman"/>
        </w:rPr>
        <w:t>ī</w:t>
      </w:r>
      <w:r>
        <w:t xml:space="preserve">, </w:t>
      </w:r>
      <w:r>
        <w:rPr>
          <w:i/>
          <w:iCs/>
        </w:rPr>
        <w:t>al-Muw</w:t>
      </w:r>
      <w:r>
        <w:rPr>
          <w:rFonts w:cs="Times New Roman"/>
          <w:i/>
          <w:iCs/>
        </w:rPr>
        <w:t>ā</w:t>
      </w:r>
      <w:r>
        <w:rPr>
          <w:i/>
          <w:iCs/>
        </w:rPr>
        <w:t>faq</w:t>
      </w:r>
      <w:r>
        <w:rPr>
          <w:rFonts w:cs="Times New Roman"/>
          <w:i/>
          <w:iCs/>
        </w:rPr>
        <w:t>ā</w:t>
      </w:r>
      <w:r>
        <w:rPr>
          <w:i/>
          <w:iCs/>
        </w:rPr>
        <w:t>t f</w:t>
      </w:r>
      <w:r>
        <w:rPr>
          <w:rFonts w:cs="Times New Roman"/>
          <w:i/>
          <w:iCs/>
        </w:rPr>
        <w:t>ī</w:t>
      </w:r>
      <w:r>
        <w:rPr>
          <w:i/>
          <w:iCs/>
        </w:rPr>
        <w:t xml:space="preserve"> U</w:t>
      </w:r>
      <w:r>
        <w:rPr>
          <w:rFonts w:cs="Times New Roman"/>
          <w:i/>
          <w:iCs/>
        </w:rPr>
        <w:t>ṣū</w:t>
      </w:r>
      <w:r>
        <w:rPr>
          <w:i/>
          <w:iCs/>
        </w:rPr>
        <w:t>l al-Syar</w:t>
      </w:r>
      <w:r>
        <w:rPr>
          <w:rFonts w:cs="Times New Roman"/>
          <w:i/>
          <w:iCs/>
        </w:rPr>
        <w:t>ī</w:t>
      </w:r>
      <w:r>
        <w:rPr>
          <w:i/>
          <w:iCs/>
        </w:rPr>
        <w:t>’ah</w:t>
      </w:r>
      <w:r>
        <w:t xml:space="preserve"> Juz II (Beir</w:t>
      </w:r>
      <w:r>
        <w:rPr>
          <w:rFonts w:cs="Times New Roman"/>
        </w:rPr>
        <w:t>ū</w:t>
      </w:r>
      <w:r>
        <w:t>t: D</w:t>
      </w:r>
      <w:r>
        <w:rPr>
          <w:rFonts w:cs="Times New Roman"/>
        </w:rPr>
        <w:t>ā</w:t>
      </w:r>
      <w:r>
        <w:t>r al-Ma’rifah, 1997), h. 324.</w:t>
      </w:r>
    </w:p>
  </w:footnote>
  <w:footnote w:id="22">
    <w:p w:rsidR="001523F0" w:rsidRDefault="001523F0" w:rsidP="001F15B8">
      <w:pPr>
        <w:pStyle w:val="FootnoteText"/>
      </w:pPr>
      <w:r>
        <w:rPr>
          <w:rStyle w:val="FootnoteReference"/>
        </w:rPr>
        <w:footnoteRef/>
      </w:r>
      <w:r>
        <w:t xml:space="preserve"> </w:t>
      </w:r>
      <w:r>
        <w:fldChar w:fldCharType="begin" w:fldLock="1"/>
      </w:r>
      <w:r>
        <w:instrText>ADDIN CSL_CITATION {"citationItems":[{"id":"ITEM-1","itemData":{"DOI":"10.24252/ad.v5i1.1444","abstract":"For al-Ṭūfīy, maṣlaḥat is a central objective laws revealed to His servant. Benefit is a power of the human mind to beat the heat and the strength of the consensus that multiple interpretations. Al-Ṭūfīy considers reasonable force to achieve the highest place than hot (khabar aḥad) were not qaṭ'iy. Neither the ijma' that in view of al- Ṭūfīy very difficult to create. Beneficiaries according to al-Ṭūfīy able to replace the authenticity of heat and ijma 'in case of doubt to both. However, thinking about the benefits of al-Ṭūfīy has made the haters menggelarinya with various titles such as al-mulhid, al-fisk, and so on. This title is purely due to their hatred of al-Ṭūfīy. In addition, it also causes their hatred then never quoting al-Ṭūfīy intact","author":[{"dropping-particle":"","family":"Khalik","given":"Subehan","non-dropping-particle":"","parse-names":false,"suffix":""}],"container-title":"Aldaulah: Jurnal Hukum Pidana dan Ketatanegaraan","id":"ITEM-1","issue":"1","issued":{"date-parts":[["2016"]]},"page":"109-118","title":"NAJAMUDDIN AL-ṬŪFĪY DAN KONSEP MAṢLAḤAT","type":"article-journal","volume":"5"},"uris":["http://www.mendeley.com/documents/?uuid=311a098f-2132-4491-bfb5-4f8906ebbfda"]}],"mendeley":{"formattedCitation":"Subehan Khalik, “NAJAMUDDIN AL-ṬŪFĪY DAN KONSEP MAṢLAḤAT,” &lt;i&gt;Aldaulah: Jurnal Hukum Pidana dan Ketatanegaraan&lt;/i&gt;, 5.1 (2016), 109–18 &lt;https://doi.org/10.24252/ad.v5i1.1444&gt;.","plainTextFormattedCitation":"Subehan Khalik, “NAJAMUDDIN AL-ṬŪFĪY DAN KONSEP MAṢLAḤAT,” Aldaulah: Jurnal Hukum Pidana dan Ketatanegaraan, 5.1 (2016), 109–18 .","previouslyFormattedCitation":"Subehan Khalik, “NAJAMUDDIN AL-ṬŪFĪY DAN KONSEP MAṢLAḤAT,” &lt;i&gt;Aldaulah: Jurnal Hukum Pidana dan Ketatanegaraan&lt;/i&gt;, 5.1 (2016), 109–18 &lt;https://doi.org/10.24252/ad.v5i1.1444&gt;."},"properties":{"noteIndex":22},"schema":"https://github.com/citation-style-language/schema/raw/master/csl-citation.json"}</w:instrText>
      </w:r>
      <w:r>
        <w:fldChar w:fldCharType="separate"/>
      </w:r>
      <w:r w:rsidRPr="001F15B8">
        <w:t xml:space="preserve">Subehan Khalik, “NAJAMUDDIN AL-ṬŪFĪY DAN KONSEP MAṢLAḤAT,” </w:t>
      </w:r>
      <w:r w:rsidRPr="001F15B8">
        <w:rPr>
          <w:i/>
        </w:rPr>
        <w:t>Aldaulah: Jurnal Hukum Pidana dan Ketatanegaraan</w:t>
      </w:r>
      <w:r w:rsidRPr="001F15B8">
        <w:t>, 5.1 (2016), 109–18 &lt;https://doi.org/10.24252/ad.v5i1.</w:t>
      </w:r>
      <w:r>
        <w:t xml:space="preserve"> </w:t>
      </w:r>
      <w:r w:rsidRPr="001F15B8">
        <w:t>1444&gt;.</w:t>
      </w:r>
      <w:r>
        <w:fldChar w:fldCharType="end"/>
      </w:r>
    </w:p>
  </w:footnote>
  <w:footnote w:id="23">
    <w:p w:rsidR="001523F0" w:rsidRDefault="001523F0" w:rsidP="00B37476">
      <w:pPr>
        <w:pStyle w:val="FootnoteText"/>
      </w:pPr>
      <w:r>
        <w:rPr>
          <w:rStyle w:val="FootnoteReference"/>
        </w:rPr>
        <w:footnoteRef/>
      </w:r>
      <w:r>
        <w:t xml:space="preserve"> </w:t>
      </w:r>
      <w:r>
        <w:fldChar w:fldCharType="begin" w:fldLock="1"/>
      </w:r>
      <w:r>
        <w:instrText>ADDIN CSL_CITATION {"citationItems":[{"id":"ITEM-1","itemData":{"ISBN":"0212270168","abstract":"This study provides an overview of the problems faced by LGBT people in Indonesia. There are four issues raised, namely, the meaning of gender and sexual orientation, violence and abuse, the role of the state, and the meaning of happiness for LGBT people. This study uses a sample of 60 respondents living in large cities, especially Jakarta. However, the strength of this study lies not in the survey results but in the results of the in-depth interviews. From this study it was found that respondents, in the context of a conservative state, are more open in interviews than surveys. This study unearths the meaning of life for LGBT people under a state which is repressive and absent for them","author":[{"dropping-particle":"","family":"Gadis Arivia &amp; Abby Gina","given":"","non-dropping-particle":"","parse-names":false,"suffix":""}],"editor":[{"dropping-particle":"","family":"Lea Šimek","given":"","non-dropping-particle":"","parse-names":false,"suffix":""}],"id":"ITEM-1","issue":"1","issued":{"date-parts":[["2016"]]},"number-of-pages":"4-12","publisher":"YJP Press","publisher-place":"Jakarta","title":"QUEERING INDONESIA : When the State is Absent : A Study Og LGBT Community in Jakarta","type":"book","volume":"4"},"uris":["http://www.mendeley.com/documents/?uuid=f10df02a-ec8f-44fc-a463-d78bbd9a1b34"]}],"mendeley":{"formattedCitation":"Gadis Arivia &amp; Abby Gina, &lt;i&gt;QUEERING INDONESIA : When the State is Absent : A Study Og LGBT Community in Jakarta&lt;/i&gt;, ed. oleh Lea Šimek (Jakarta: YJP Press, 2016), &lt;span style=\"font-variant:small-caps;\"&gt;iv&lt;/span&gt; &lt;www.jurnalperempuan.org/indonesian-feminist-journal.html&gt;.","manualFormatting":"Gadis Arivia &amp; Abby Gina, QUEERING INDONESIA : When the State is Absent : A Study Og LGBT Community in Jakarta, ed. oleh Lea Šimek (Jakarta: YJP Press, 2016), h. 4-12 .","plainTextFormattedCitation":"Gadis Arivia &amp; Abby Gina, QUEERING INDONESIA : When the State is Absent : A Study Og LGBT Community in Jakarta, ed. oleh Lea Šimek (Jakarta: YJP Press, 2016), iv .","previouslyFormattedCitation":"Gadis Arivia &amp; Abby Gina, &lt;i&gt;QUEERING INDONESIA : When the State is Absent : A Study Og LGBT Community in Jakarta&lt;/i&gt;, ed. oleh Lea Šimek (Jakarta: YJP Press, 2016), &lt;span style=\"font-variant:small-caps;\"&gt;iv&lt;/span&gt; &lt;www.jurnalperempuan.org/indonesian-feminist-journal.html&gt;."},"properties":{"noteIndex":23},"schema":"https://github.com/citation-style-language/schema/raw/master/csl-citation.json"}</w:instrText>
      </w:r>
      <w:r>
        <w:fldChar w:fldCharType="separate"/>
      </w:r>
      <w:r w:rsidRPr="00B37476">
        <w:t xml:space="preserve">Gadis Arivia &amp; Abby Gina, </w:t>
      </w:r>
      <w:r w:rsidRPr="00B37476">
        <w:rPr>
          <w:i/>
        </w:rPr>
        <w:t>QUEERING INDONESIA : When the State is Absent : A Study Og LGBT Community in Jakarta</w:t>
      </w:r>
      <w:r w:rsidRPr="00B37476">
        <w:t>, ed. oleh Lea Ši</w:t>
      </w:r>
      <w:r>
        <w:t xml:space="preserve">mek (Jakarta: YJP Press, 2016), h. 4-12 </w:t>
      </w:r>
      <w:r w:rsidRPr="00B37476">
        <w:t>&lt;www.jurnalperempuan.org/indonesian-feminist-journal.html&gt;.</w:t>
      </w:r>
      <w:r>
        <w:fldChar w:fldCharType="end"/>
      </w:r>
    </w:p>
  </w:footnote>
  <w:footnote w:id="24">
    <w:p w:rsidR="001523F0" w:rsidRDefault="001523F0" w:rsidP="00ED62F8">
      <w:pPr>
        <w:pStyle w:val="FootnoteText"/>
      </w:pPr>
      <w:r>
        <w:rPr>
          <w:rStyle w:val="FootnoteReference"/>
        </w:rPr>
        <w:footnoteRef/>
      </w:r>
      <w:r>
        <w:t xml:space="preserve"> </w:t>
      </w:r>
      <w:r>
        <w:fldChar w:fldCharType="begin" w:fldLock="1"/>
      </w:r>
      <w:r>
        <w:instrText>ADDIN CSL_CITATION {"citationItems":[{"id":"ITEM-1","itemData":{"ISBN":"0-8156-2484-0","author":[{"dropping-particle":"","family":"Na'im","given":"Abdullahi Ahmed An","non-dropping-particle":"","parse-names":false,"suffix":""}],"edition":"5","id":"ITEM-1","issued":{"date-parts":[["1996"]]},"number-of-pages":"1-247","publisher":"Syracuse University Press","publisher-place":"New York","title":"Toward an Islamic reformation: Civil liberties, human rights, and international law","type":"book"},"uris":["http://www.mendeley.com/documents/?uuid=d0543d00-fbbc-4cd5-a9a6-1a849e220b39"]}],"mendeley":{"formattedCitation":"Abdullahi Ahmed An Na’im, &lt;i&gt;Toward an Islamic reformation: Civil liberties, human rights, and international law&lt;/i&gt;, 5 ed. (New York: Syracuse University Press, 1996).","manualFormatting":"Abdullahi Ahmed An Na’im, Toward an Islamic reformation: Civil liberties, Human Rights, and International Law, 5 ed. (New York: Syracuse University Press, 1996).","plainTextFormattedCitation":"Abdullahi Ahmed An Na’im, Toward an Islamic reformation: Civil liberties, human rights, and international law, 5 ed. (New York: Syracuse University Press, 1996).","previouslyFormattedCitation":"Abdullahi Ahmed An Na’im, &lt;i&gt;Toward an Islamic reformation: Civil liberties, human rights, and international law&lt;/i&gt;, 5 ed. (New York: Syracuse University Press, 1996)."},"properties":{"noteIndex":24},"schema":"https://github.com/citation-style-language/schema/raw/master/csl-citation.json"}</w:instrText>
      </w:r>
      <w:r>
        <w:fldChar w:fldCharType="separate"/>
      </w:r>
      <w:r w:rsidRPr="00ED62F8">
        <w:t xml:space="preserve">Abdullahi Ahmed An Na’im, </w:t>
      </w:r>
      <w:r w:rsidRPr="00ED62F8">
        <w:rPr>
          <w:i/>
        </w:rPr>
        <w:t>Toward an Islamic reformati</w:t>
      </w:r>
      <w:r>
        <w:rPr>
          <w:i/>
        </w:rPr>
        <w:t>on: Civil liberties, Human Rights, and International L</w:t>
      </w:r>
      <w:r w:rsidRPr="00ED62F8">
        <w:rPr>
          <w:i/>
        </w:rPr>
        <w:t>aw</w:t>
      </w:r>
      <w:r w:rsidRPr="00ED62F8">
        <w:t>, 5 ed. (New York: Syracuse University Press, 1996).</w:t>
      </w:r>
      <w:r>
        <w:fldChar w:fldCharType="end"/>
      </w:r>
      <w:r>
        <w:t xml:space="preserve"> h. 127.</w:t>
      </w:r>
    </w:p>
  </w:footnote>
  <w:footnote w:id="25">
    <w:p w:rsidR="001523F0" w:rsidRDefault="001523F0" w:rsidP="00B34161">
      <w:pPr>
        <w:pStyle w:val="FootnoteText"/>
      </w:pPr>
      <w:r>
        <w:rPr>
          <w:rStyle w:val="FootnoteReference"/>
        </w:rPr>
        <w:footnoteRef/>
      </w:r>
      <w:r>
        <w:t xml:space="preserve">St. Harum Pudjiarto. </w:t>
      </w:r>
      <w:r w:rsidRPr="00774A59">
        <w:rPr>
          <w:i/>
          <w:iCs/>
        </w:rPr>
        <w:t>Hak Asasi Manusia di Indonesia: Suatu Tinjauan Filosofis Berdasarkan Pancasila dan Permasalahannya dalam Hukum Pidana</w:t>
      </w:r>
      <w:r>
        <w:t xml:space="preserve"> (Yogyakarta: Universitas Atma Jaya, 1993), h 73</w:t>
      </w:r>
    </w:p>
  </w:footnote>
  <w:footnote w:id="26">
    <w:p w:rsidR="001523F0" w:rsidRDefault="001523F0" w:rsidP="002C6962">
      <w:pPr>
        <w:pStyle w:val="FootnoteText"/>
      </w:pPr>
      <w:r>
        <w:rPr>
          <w:rStyle w:val="FootnoteReference"/>
        </w:rPr>
        <w:footnoteRef/>
      </w:r>
      <w:r>
        <w:t xml:space="preserve"> </w:t>
      </w:r>
      <w:r>
        <w:fldChar w:fldCharType="begin" w:fldLock="1"/>
      </w:r>
      <w:r>
        <w:instrText>ADDIN CSL_CITATION {"citationItems":[{"id":"ITEM-1","itemData":{"DOI":"10.21580/ahkam.2013.23.2.23","ISSN":"0854-4603","abstract":"Muslim countries often stuck in a dilemmatic situation between be exclusively with retaining the Islamic principles of human rights through Islamic law or follow the principles of human rights which is regulated internationally through Universal Declaration of Human Rights (UDHR). The existence of Independent Permanent Commission of Human Rights (IPHRC) as one of the core institutions of organization of the Islamic Cooperation (OIC) intended to be a mediator for the occurrence of constructive dialogue between human rights discourse on one side with Islamic law on the other side. This is the way to reduce dichotomous view that impact on gaps and conflict. The equivalent dialogue continuously between two entities, Islamic law and human rights must always be attempts to open opportunities in more widely shared understanding and in turn will facilitate the achievement of progress and the protection of human rights in Muslim countries. This dialogue also important to remove the negative stigma against Islamic law that is often accused of violating human rights. and also to open space of interpretation to Islamic law that relevance with contemporary life.","author":[{"dropping-particle":"","family":"Hafiz","given":"Muhammad","non-dropping-particle":"","parse-names":false,"suffix":""}],"container-title":"Al-Ahkam","id":"ITEM-1","issue":"2","issued":{"date-parts":[["2013"]]},"page":"201-224","title":"Dinamika Hukum Dan Hak Asasi Manusia Di Negara-Negara Muslim","type":"article-journal","volume":"23"},"uris":["http://www.mendeley.com/documents/?uuid=7ece045b-6311-4f59-9686-c1ff90881643"]}],"mendeley":{"formattedCitation":"Muhammad Hafiz, “Dinamika Hukum Dan Hak Asasi Manusia Di Negara-Negara Muslim,” &lt;i&gt;Al-Ahkam&lt;/i&gt;, 23.2 (2013), 201–24 &lt;https://doi.org/10.21580/ahkam.2013.23.2.23&gt;.","manualFormatting":"Muhammad Hafiz, “Dinamika Hukum Dan Hak Asasi Manusia Di Negara-Negara Muslim,” Al-Ahkam, 23.2 (2013), h. 201–24 .","plainTextFormattedCitation":"Muhammad Hafiz, “Dinamika Hukum Dan Hak Asasi Manusia Di Negara-Negara Muslim,” Al-Ahkam, 23.2 (2013), 201–24 .","previouslyFormattedCitation":"Muhammad Hafiz, “Dinamika Hukum Dan Hak Asasi Manusia Di Negara-Negara Muslim,” &lt;i&gt;Al-Ahkam&lt;/i&gt;, 23.2 (2013), 201–24 &lt;https://doi.org/10.21580/ahkam.2013.23.2.23&gt;."},"properties":{"noteIndex":26},"schema":"https://github.com/citation-style-language/schema/raw/master/csl-citation.json"}</w:instrText>
      </w:r>
      <w:r>
        <w:fldChar w:fldCharType="separate"/>
      </w:r>
      <w:r w:rsidRPr="002C6962">
        <w:t xml:space="preserve">Muhammad Hafiz, “Dinamika Hukum Dan Hak Asasi Manusia Di Negara-Negara Muslim,” </w:t>
      </w:r>
      <w:r w:rsidRPr="002C6962">
        <w:rPr>
          <w:i/>
        </w:rPr>
        <w:t>Al-Ahkam</w:t>
      </w:r>
      <w:r w:rsidRPr="002C6962">
        <w:t xml:space="preserve">, 23.2 (2013), </w:t>
      </w:r>
      <w:r>
        <w:t xml:space="preserve">h. </w:t>
      </w:r>
      <w:r w:rsidRPr="002C6962">
        <w:t>201–24 &lt;https://doi.org/10.21580/ahkam.2013.23.2.23&gt;.</w:t>
      </w:r>
      <w:r>
        <w:fldChar w:fldCharType="end"/>
      </w:r>
    </w:p>
  </w:footnote>
  <w:footnote w:id="27">
    <w:p w:rsidR="001523F0" w:rsidRDefault="001523F0" w:rsidP="001F15B8">
      <w:pPr>
        <w:pStyle w:val="FootnoteText"/>
      </w:pPr>
      <w:r>
        <w:rPr>
          <w:rStyle w:val="FootnoteReference"/>
        </w:rPr>
        <w:footnoteRef/>
      </w:r>
      <w:r>
        <w:t xml:space="preserve"> </w:t>
      </w:r>
      <w:r>
        <w:fldChar w:fldCharType="begin" w:fldLock="1"/>
      </w:r>
      <w:r>
        <w:instrText>ADDIN CSL_CITATION {"citationItems":[{"id":"ITEM-1","itemData":{"DOI":"10.22373/al-idarah.v1i2.2672","ISSN":"2549-4961","abstract":"Pencegahan adalah bentuk kepedulian dan kewajiban berdakwah agar terhindar dari kemaksiatan guna melahirkan masyarakat Islami. Pencegahan lesbian, gay, biseksual dan transgender (LGBT) adalah suatu proses yang dijalankan oleh pemerintah Kota Banda Aceh melalui Wilayatul Hisbah selaku badan yang mengawasi pelaksanaan syariat Islam dengan tujuan terlaksananya syariat Islam baik dari segi akidah, ibadah dan Syariat Islam. Tujuan penelitian ini untuk mengetahui bagaimana peran Wilayatul Hisbah dalam mencegah LGBT di Banda Aceh. Di lihat dari sifatnya, penelitian ini termasuk pada penelitian kualitatif. Lokasi penelitian ini dilakukan di Kota Banda Aceh, tepatnya pada lembaga Wilayatul Hisbah Kota Banda Aceh. Oleh karena itu, penelitian ini tergolong pada penelitian lapangan (field research) dengan teknik pengumpulan datanya diperoleh melalui observasi, wawancara dan studi dokumentasi. Adapun teknik analisisnya dilakukan secara deskriptif kualitatif. Berdasarkan hasil penelitian yang telah dilakukan menunjukkan, bahwa langkah dan strategi Wilayatul Hisbah dalam mencegah lesbian, gay, biseksual dan transgender (LGBT) di Banda Aceh adalah dengan sosialisasi, baik dalam bentuk patroli rutin, kunjungan ke sekolah-sekolah, maupun kunjungan ke tempat-tempat yang terindikasi sering terjadinya pelanggaran. Di antara faktor penghambat Wilayatul Hisbah dalam mencegah LGBT di Banda Aceh adalah kurangnya dukungan masyarakat dan pemerintah. Adapun solusi yang efektif terhadap pembentukan generasi anti LGBT di Banda Aceh adalah dengan meningkatkan kesadaran kepada orang tua melalui sosialisasi khusus terkait pola asuh anak sesuai ajaran Islam, penanaman pemahaman tentang bahaya liwath, musahaqah dan resiko jika anak menjadi LGBT. Oleh karena itu, pemerintah perlu melakukan upaya penanaman pemahaman kepada masyarakat, selain juga melakukan pemberdayaan bagi setiap pegawai Wilayatul Hisbah agar timbul kesadaran, tanggung jawab serta mampu bekerja dengan penuh keihklasan.","author":[{"dropping-particle":"","family":"Kemala","given":"Putri","non-dropping-particle":"","parse-names":false,"suffix":""}],"container-title":"Al-Idarah: Jurnal Manajemen dan Administrasi Islam","id":"ITEM-1","issue":"2","issued":{"date-parts":[["2017"]]},"page":"261","title":"Peran Wilayatul Hisbah Dalam Mencegah Lesbian, Gay, Biseksual Dan Transgender (Lgbt) Di Banda Aceh","type":"article-journal","volume":"1"},"uris":["http://www.mendeley.com/documents/?uuid=c7987e31-101e-49ea-bed8-ef15b63f1baa"]}],"mendeley":{"formattedCitation":"Putri Kemala, “Peran Wilayatul Hisbah Dalam Mencegah Lesbian, Gay, Biseksual Dan Transgender (Lgbt) Di Banda Aceh,” &lt;i&gt;Al-Idarah: Jurnal Manajemen dan Administrasi Islam&lt;/i&gt;, 1.2 (2017), 261 &lt;https://doi.org/10.22373/al-idarah.v1i2.2672&gt;.","plainTextFormattedCitation":"Putri Kemala, “Peran Wilayatul Hisbah Dalam Mencegah Lesbian, Gay, Biseksual Dan Transgender (Lgbt) Di Banda Aceh,” Al-Idarah: Jurnal Manajemen dan Administrasi Islam, 1.2 (2017), 261 ."},"properties":{"noteIndex":27},"schema":"https://github.com/citation-style-language/schema/raw/master/csl-citation.json"}</w:instrText>
      </w:r>
      <w:r>
        <w:fldChar w:fldCharType="separate"/>
      </w:r>
      <w:r w:rsidRPr="001F15B8">
        <w:t xml:space="preserve">Putri Kemala, “Peran Wilayatul Hisbah Dalam Mencegah Lesbian, Gay, Biseksual Dan Transgender (Lgbt) Di Banda Aceh,” </w:t>
      </w:r>
      <w:r w:rsidRPr="001F15B8">
        <w:rPr>
          <w:i/>
        </w:rPr>
        <w:t>Al-Idarah: Jurnal Manajemen dan Administrasi Islam</w:t>
      </w:r>
      <w:r w:rsidRPr="001F15B8">
        <w:t>, 1.2 (2017), 261 &lt;https://doi.org/10.22373/al-idarah.v1i2.2672&gt;.</w:t>
      </w:r>
      <w:r>
        <w:fldChar w:fldCharType="end"/>
      </w:r>
    </w:p>
  </w:footnote>
  <w:footnote w:id="28">
    <w:p w:rsidR="001523F0" w:rsidRDefault="001523F0" w:rsidP="00B34161">
      <w:pPr>
        <w:pStyle w:val="FootnoteText"/>
      </w:pPr>
      <w:r>
        <w:rPr>
          <w:rStyle w:val="FootnoteReference"/>
        </w:rPr>
        <w:footnoteRef/>
      </w:r>
      <w:r>
        <w:t xml:space="preserve"> </w:t>
      </w:r>
      <w:hyperlink r:id="rId11" w:history="1">
        <w:r w:rsidRPr="00576A70">
          <w:rPr>
            <w:rStyle w:val="Hyperlink"/>
          </w:rPr>
          <w:t>https://nasional.tempo.co/read/1057953/dpr-dan-mui-sepakat-lgbt-dipidana-dalam-rkuhp</w:t>
        </w:r>
      </w:hyperlink>
      <w:r>
        <w:t xml:space="preserve"> </w:t>
      </w:r>
    </w:p>
  </w:footnote>
  <w:footnote w:id="29">
    <w:p w:rsidR="001523F0" w:rsidRDefault="001523F0" w:rsidP="00B34161">
      <w:pPr>
        <w:pStyle w:val="FootnoteText"/>
      </w:pPr>
      <w:r>
        <w:rPr>
          <w:rStyle w:val="FootnoteReference"/>
        </w:rPr>
        <w:footnoteRef/>
      </w:r>
      <w:r>
        <w:t xml:space="preserve"> </w:t>
      </w:r>
      <w:hyperlink r:id="rId12" w:history="1">
        <w:r w:rsidRPr="00576A70">
          <w:rPr>
            <w:rStyle w:val="Hyperlink"/>
          </w:rPr>
          <w:t>https://nasional.tempo.co/read/1057953/dpr-dan-mui-sepakat-lgbt-dipidana-dalam-rkuhp</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314589"/>
      <w:docPartObj>
        <w:docPartGallery w:val="Page Numbers (Top of Page)"/>
        <w:docPartUnique/>
      </w:docPartObj>
    </w:sdtPr>
    <w:sdtEndPr>
      <w:rPr>
        <w:noProof/>
      </w:rPr>
    </w:sdtEndPr>
    <w:sdtContent>
      <w:p w:rsidR="001523F0" w:rsidRDefault="001523F0">
        <w:pPr>
          <w:pStyle w:val="Header"/>
          <w:jc w:val="right"/>
        </w:pPr>
        <w:r>
          <w:fldChar w:fldCharType="begin"/>
        </w:r>
        <w:r>
          <w:instrText xml:space="preserve"> PAGE   \* MERGEFORMAT </w:instrText>
        </w:r>
        <w:r>
          <w:fldChar w:fldCharType="separate"/>
        </w:r>
        <w:r w:rsidR="00B94297">
          <w:rPr>
            <w:noProof/>
          </w:rPr>
          <w:t>2</w:t>
        </w:r>
        <w:r>
          <w:rPr>
            <w:noProof/>
          </w:rPr>
          <w:fldChar w:fldCharType="end"/>
        </w:r>
      </w:p>
    </w:sdtContent>
  </w:sdt>
  <w:p w:rsidR="001523F0" w:rsidRDefault="00152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1E97"/>
    <w:multiLevelType w:val="hybridMultilevel"/>
    <w:tmpl w:val="4732B2C0"/>
    <w:lvl w:ilvl="0" w:tplc="E522E952">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765A7"/>
    <w:multiLevelType w:val="hybridMultilevel"/>
    <w:tmpl w:val="2CEA7A34"/>
    <w:lvl w:ilvl="0" w:tplc="E3A86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18"/>
    <w:rsid w:val="00011902"/>
    <w:rsid w:val="00011F96"/>
    <w:rsid w:val="00022A29"/>
    <w:rsid w:val="000230C3"/>
    <w:rsid w:val="0002326D"/>
    <w:rsid w:val="00025599"/>
    <w:rsid w:val="00034DE9"/>
    <w:rsid w:val="000445C6"/>
    <w:rsid w:val="00046844"/>
    <w:rsid w:val="00047F2E"/>
    <w:rsid w:val="00055FB8"/>
    <w:rsid w:val="0006111F"/>
    <w:rsid w:val="00061D04"/>
    <w:rsid w:val="000654F7"/>
    <w:rsid w:val="00065E8F"/>
    <w:rsid w:val="000A1D2C"/>
    <w:rsid w:val="000B1E0C"/>
    <w:rsid w:val="000C0B3E"/>
    <w:rsid w:val="000C4A0F"/>
    <w:rsid w:val="000D1216"/>
    <w:rsid w:val="000D43E4"/>
    <w:rsid w:val="000D4BE2"/>
    <w:rsid w:val="000E3017"/>
    <w:rsid w:val="000E7F41"/>
    <w:rsid w:val="0010135E"/>
    <w:rsid w:val="00107B28"/>
    <w:rsid w:val="00116280"/>
    <w:rsid w:val="001271A0"/>
    <w:rsid w:val="00143E2A"/>
    <w:rsid w:val="001523F0"/>
    <w:rsid w:val="001708B2"/>
    <w:rsid w:val="00172D79"/>
    <w:rsid w:val="001828A1"/>
    <w:rsid w:val="001926AF"/>
    <w:rsid w:val="00195AAA"/>
    <w:rsid w:val="001B51C2"/>
    <w:rsid w:val="001C7C54"/>
    <w:rsid w:val="001D004A"/>
    <w:rsid w:val="001E1D03"/>
    <w:rsid w:val="001E2408"/>
    <w:rsid w:val="001E4FF4"/>
    <w:rsid w:val="001F15B8"/>
    <w:rsid w:val="001F45F9"/>
    <w:rsid w:val="001F5647"/>
    <w:rsid w:val="00201F60"/>
    <w:rsid w:val="00205271"/>
    <w:rsid w:val="0021280D"/>
    <w:rsid w:val="00213D70"/>
    <w:rsid w:val="00216693"/>
    <w:rsid w:val="0022256E"/>
    <w:rsid w:val="00230CD4"/>
    <w:rsid w:val="002325C6"/>
    <w:rsid w:val="00234076"/>
    <w:rsid w:val="00234BB5"/>
    <w:rsid w:val="00234C1C"/>
    <w:rsid w:val="002373AD"/>
    <w:rsid w:val="0024258E"/>
    <w:rsid w:val="00244693"/>
    <w:rsid w:val="00246A0E"/>
    <w:rsid w:val="00247F4A"/>
    <w:rsid w:val="00257331"/>
    <w:rsid w:val="00261D91"/>
    <w:rsid w:val="00266AFA"/>
    <w:rsid w:val="0027124A"/>
    <w:rsid w:val="0027728B"/>
    <w:rsid w:val="002839C2"/>
    <w:rsid w:val="00291769"/>
    <w:rsid w:val="00291F5A"/>
    <w:rsid w:val="00295835"/>
    <w:rsid w:val="002A10EB"/>
    <w:rsid w:val="002B0357"/>
    <w:rsid w:val="002B04FF"/>
    <w:rsid w:val="002B094B"/>
    <w:rsid w:val="002B2018"/>
    <w:rsid w:val="002B5260"/>
    <w:rsid w:val="002B70E1"/>
    <w:rsid w:val="002C6962"/>
    <w:rsid w:val="002D328F"/>
    <w:rsid w:val="002E5967"/>
    <w:rsid w:val="002F45B2"/>
    <w:rsid w:val="003142F3"/>
    <w:rsid w:val="00322129"/>
    <w:rsid w:val="003304FB"/>
    <w:rsid w:val="00335E0D"/>
    <w:rsid w:val="00335EAB"/>
    <w:rsid w:val="003367FB"/>
    <w:rsid w:val="00343829"/>
    <w:rsid w:val="0034774E"/>
    <w:rsid w:val="00352163"/>
    <w:rsid w:val="00352677"/>
    <w:rsid w:val="0035572E"/>
    <w:rsid w:val="00357A03"/>
    <w:rsid w:val="00367EF6"/>
    <w:rsid w:val="00371C5C"/>
    <w:rsid w:val="00374644"/>
    <w:rsid w:val="003809C7"/>
    <w:rsid w:val="00395A6E"/>
    <w:rsid w:val="00397036"/>
    <w:rsid w:val="003A5029"/>
    <w:rsid w:val="003B58BB"/>
    <w:rsid w:val="003C18F8"/>
    <w:rsid w:val="003D0B3B"/>
    <w:rsid w:val="003D7F33"/>
    <w:rsid w:val="003E74C9"/>
    <w:rsid w:val="003F2CDE"/>
    <w:rsid w:val="0040293D"/>
    <w:rsid w:val="0040588B"/>
    <w:rsid w:val="00412EDD"/>
    <w:rsid w:val="00423118"/>
    <w:rsid w:val="00426E13"/>
    <w:rsid w:val="00434438"/>
    <w:rsid w:val="00435FEE"/>
    <w:rsid w:val="004364E3"/>
    <w:rsid w:val="0045524F"/>
    <w:rsid w:val="00455986"/>
    <w:rsid w:val="00467E01"/>
    <w:rsid w:val="0047036A"/>
    <w:rsid w:val="00480DA8"/>
    <w:rsid w:val="004859F3"/>
    <w:rsid w:val="00486A83"/>
    <w:rsid w:val="0049141F"/>
    <w:rsid w:val="0049464C"/>
    <w:rsid w:val="004954DE"/>
    <w:rsid w:val="00496949"/>
    <w:rsid w:val="004A1BBE"/>
    <w:rsid w:val="004A2C19"/>
    <w:rsid w:val="004A372C"/>
    <w:rsid w:val="004A76EC"/>
    <w:rsid w:val="004B0C53"/>
    <w:rsid w:val="004B3AFA"/>
    <w:rsid w:val="004C021C"/>
    <w:rsid w:val="004C2E4D"/>
    <w:rsid w:val="004C7AEA"/>
    <w:rsid w:val="004E303F"/>
    <w:rsid w:val="004E712E"/>
    <w:rsid w:val="004E78B3"/>
    <w:rsid w:val="004F22A0"/>
    <w:rsid w:val="004F3B9B"/>
    <w:rsid w:val="004F50BC"/>
    <w:rsid w:val="00504818"/>
    <w:rsid w:val="00507958"/>
    <w:rsid w:val="00511664"/>
    <w:rsid w:val="00512D4C"/>
    <w:rsid w:val="005131B1"/>
    <w:rsid w:val="0052063B"/>
    <w:rsid w:val="00521285"/>
    <w:rsid w:val="00521F25"/>
    <w:rsid w:val="00526F71"/>
    <w:rsid w:val="005366F5"/>
    <w:rsid w:val="00540CE1"/>
    <w:rsid w:val="00541075"/>
    <w:rsid w:val="0054721D"/>
    <w:rsid w:val="00553D3D"/>
    <w:rsid w:val="005562FB"/>
    <w:rsid w:val="00564131"/>
    <w:rsid w:val="00565F90"/>
    <w:rsid w:val="00570F4C"/>
    <w:rsid w:val="00572B28"/>
    <w:rsid w:val="00577F4E"/>
    <w:rsid w:val="00581771"/>
    <w:rsid w:val="00587B0A"/>
    <w:rsid w:val="0059509B"/>
    <w:rsid w:val="005A150A"/>
    <w:rsid w:val="005A30CE"/>
    <w:rsid w:val="005B0E74"/>
    <w:rsid w:val="005B1F22"/>
    <w:rsid w:val="005B1FEA"/>
    <w:rsid w:val="005B2782"/>
    <w:rsid w:val="005B3EC6"/>
    <w:rsid w:val="005C004A"/>
    <w:rsid w:val="005C1017"/>
    <w:rsid w:val="005C25D7"/>
    <w:rsid w:val="005D3287"/>
    <w:rsid w:val="005E0134"/>
    <w:rsid w:val="005E24B3"/>
    <w:rsid w:val="005E2E7B"/>
    <w:rsid w:val="005E5491"/>
    <w:rsid w:val="005F2F70"/>
    <w:rsid w:val="005F6EC6"/>
    <w:rsid w:val="00602792"/>
    <w:rsid w:val="006201D2"/>
    <w:rsid w:val="006234DD"/>
    <w:rsid w:val="00625AD9"/>
    <w:rsid w:val="00632E40"/>
    <w:rsid w:val="0063364D"/>
    <w:rsid w:val="00634C83"/>
    <w:rsid w:val="00634CDE"/>
    <w:rsid w:val="00637C90"/>
    <w:rsid w:val="0064236D"/>
    <w:rsid w:val="00642D7F"/>
    <w:rsid w:val="00645BD1"/>
    <w:rsid w:val="00646857"/>
    <w:rsid w:val="00647766"/>
    <w:rsid w:val="00654625"/>
    <w:rsid w:val="00655634"/>
    <w:rsid w:val="00656F92"/>
    <w:rsid w:val="00661CAC"/>
    <w:rsid w:val="00664B2C"/>
    <w:rsid w:val="0067113C"/>
    <w:rsid w:val="00671562"/>
    <w:rsid w:val="00673155"/>
    <w:rsid w:val="00683154"/>
    <w:rsid w:val="006859CE"/>
    <w:rsid w:val="0069205A"/>
    <w:rsid w:val="00693C77"/>
    <w:rsid w:val="006946B4"/>
    <w:rsid w:val="006955CD"/>
    <w:rsid w:val="006A5709"/>
    <w:rsid w:val="006B6059"/>
    <w:rsid w:val="006B671E"/>
    <w:rsid w:val="006B7C86"/>
    <w:rsid w:val="006C38CD"/>
    <w:rsid w:val="006D180F"/>
    <w:rsid w:val="006D278B"/>
    <w:rsid w:val="006F0D27"/>
    <w:rsid w:val="006F393F"/>
    <w:rsid w:val="00703731"/>
    <w:rsid w:val="007362D2"/>
    <w:rsid w:val="00740304"/>
    <w:rsid w:val="00747486"/>
    <w:rsid w:val="0075494D"/>
    <w:rsid w:val="007738C4"/>
    <w:rsid w:val="00774A59"/>
    <w:rsid w:val="00774B2C"/>
    <w:rsid w:val="0078705E"/>
    <w:rsid w:val="00787DF8"/>
    <w:rsid w:val="00790B3D"/>
    <w:rsid w:val="007A5511"/>
    <w:rsid w:val="007B450C"/>
    <w:rsid w:val="007B48C6"/>
    <w:rsid w:val="007B508D"/>
    <w:rsid w:val="007B6BF3"/>
    <w:rsid w:val="007C3D40"/>
    <w:rsid w:val="007C6E58"/>
    <w:rsid w:val="007D5C2F"/>
    <w:rsid w:val="007D5F24"/>
    <w:rsid w:val="007E2611"/>
    <w:rsid w:val="007E3295"/>
    <w:rsid w:val="007E4981"/>
    <w:rsid w:val="007E647E"/>
    <w:rsid w:val="007E6940"/>
    <w:rsid w:val="008045AB"/>
    <w:rsid w:val="00805293"/>
    <w:rsid w:val="00810DAB"/>
    <w:rsid w:val="0081484B"/>
    <w:rsid w:val="00830887"/>
    <w:rsid w:val="00831ED0"/>
    <w:rsid w:val="00833917"/>
    <w:rsid w:val="0084452D"/>
    <w:rsid w:val="00847941"/>
    <w:rsid w:val="00854478"/>
    <w:rsid w:val="00856E63"/>
    <w:rsid w:val="00867132"/>
    <w:rsid w:val="00870C7F"/>
    <w:rsid w:val="00870EA7"/>
    <w:rsid w:val="00880ED5"/>
    <w:rsid w:val="0088176C"/>
    <w:rsid w:val="00893977"/>
    <w:rsid w:val="00893CF2"/>
    <w:rsid w:val="008A46B8"/>
    <w:rsid w:val="008A706B"/>
    <w:rsid w:val="008B2775"/>
    <w:rsid w:val="008B4EF9"/>
    <w:rsid w:val="008B6960"/>
    <w:rsid w:val="008C5466"/>
    <w:rsid w:val="008D6175"/>
    <w:rsid w:val="008D7DDE"/>
    <w:rsid w:val="008E3895"/>
    <w:rsid w:val="008E39F5"/>
    <w:rsid w:val="008E43C3"/>
    <w:rsid w:val="008F17E0"/>
    <w:rsid w:val="00901AB2"/>
    <w:rsid w:val="0091171F"/>
    <w:rsid w:val="00913C22"/>
    <w:rsid w:val="00916BE3"/>
    <w:rsid w:val="009257FA"/>
    <w:rsid w:val="009300BB"/>
    <w:rsid w:val="00932794"/>
    <w:rsid w:val="00934A39"/>
    <w:rsid w:val="00946625"/>
    <w:rsid w:val="0094692F"/>
    <w:rsid w:val="00955BF3"/>
    <w:rsid w:val="009577CB"/>
    <w:rsid w:val="00960FAD"/>
    <w:rsid w:val="00961D69"/>
    <w:rsid w:val="00971D4F"/>
    <w:rsid w:val="00975CE3"/>
    <w:rsid w:val="00975DDF"/>
    <w:rsid w:val="00995F86"/>
    <w:rsid w:val="009A02F0"/>
    <w:rsid w:val="009A1200"/>
    <w:rsid w:val="009B01B7"/>
    <w:rsid w:val="009B274E"/>
    <w:rsid w:val="009C4417"/>
    <w:rsid w:val="009D1470"/>
    <w:rsid w:val="009E5089"/>
    <w:rsid w:val="009F2E34"/>
    <w:rsid w:val="009F3DED"/>
    <w:rsid w:val="009F6B57"/>
    <w:rsid w:val="00A056FC"/>
    <w:rsid w:val="00A076DE"/>
    <w:rsid w:val="00A129E2"/>
    <w:rsid w:val="00A1413E"/>
    <w:rsid w:val="00A24CE5"/>
    <w:rsid w:val="00A270FD"/>
    <w:rsid w:val="00A34F3F"/>
    <w:rsid w:val="00A35223"/>
    <w:rsid w:val="00A43654"/>
    <w:rsid w:val="00A440C5"/>
    <w:rsid w:val="00A44D2A"/>
    <w:rsid w:val="00A5218D"/>
    <w:rsid w:val="00A56625"/>
    <w:rsid w:val="00A62E5B"/>
    <w:rsid w:val="00A71FEB"/>
    <w:rsid w:val="00A748D4"/>
    <w:rsid w:val="00A80D0E"/>
    <w:rsid w:val="00A93DCC"/>
    <w:rsid w:val="00A96219"/>
    <w:rsid w:val="00A9676D"/>
    <w:rsid w:val="00A96E0F"/>
    <w:rsid w:val="00A96F15"/>
    <w:rsid w:val="00AA2177"/>
    <w:rsid w:val="00AA6A1F"/>
    <w:rsid w:val="00AB5896"/>
    <w:rsid w:val="00AC19BC"/>
    <w:rsid w:val="00AC648F"/>
    <w:rsid w:val="00AD5C10"/>
    <w:rsid w:val="00AE4E87"/>
    <w:rsid w:val="00AE705A"/>
    <w:rsid w:val="00AF167B"/>
    <w:rsid w:val="00B02DE4"/>
    <w:rsid w:val="00B10249"/>
    <w:rsid w:val="00B16718"/>
    <w:rsid w:val="00B170AA"/>
    <w:rsid w:val="00B17D5C"/>
    <w:rsid w:val="00B2209A"/>
    <w:rsid w:val="00B32920"/>
    <w:rsid w:val="00B34161"/>
    <w:rsid w:val="00B37476"/>
    <w:rsid w:val="00B56087"/>
    <w:rsid w:val="00B6150C"/>
    <w:rsid w:val="00B80900"/>
    <w:rsid w:val="00B94297"/>
    <w:rsid w:val="00BB7DA4"/>
    <w:rsid w:val="00BC1686"/>
    <w:rsid w:val="00BC1D02"/>
    <w:rsid w:val="00BC2741"/>
    <w:rsid w:val="00BC3F2E"/>
    <w:rsid w:val="00BD6AB4"/>
    <w:rsid w:val="00BE2946"/>
    <w:rsid w:val="00BE4DA8"/>
    <w:rsid w:val="00BF4D68"/>
    <w:rsid w:val="00C02198"/>
    <w:rsid w:val="00C1650D"/>
    <w:rsid w:val="00C166C9"/>
    <w:rsid w:val="00C17261"/>
    <w:rsid w:val="00C226B8"/>
    <w:rsid w:val="00C27BC8"/>
    <w:rsid w:val="00C32BB0"/>
    <w:rsid w:val="00C45EAE"/>
    <w:rsid w:val="00C5080A"/>
    <w:rsid w:val="00C5141E"/>
    <w:rsid w:val="00C527C7"/>
    <w:rsid w:val="00C542D3"/>
    <w:rsid w:val="00C55ACA"/>
    <w:rsid w:val="00C60968"/>
    <w:rsid w:val="00C61326"/>
    <w:rsid w:val="00C62A22"/>
    <w:rsid w:val="00C66062"/>
    <w:rsid w:val="00C77DC1"/>
    <w:rsid w:val="00C80BB6"/>
    <w:rsid w:val="00C96D9F"/>
    <w:rsid w:val="00C96E32"/>
    <w:rsid w:val="00CA1EC7"/>
    <w:rsid w:val="00CA2B80"/>
    <w:rsid w:val="00CA455B"/>
    <w:rsid w:val="00CB5135"/>
    <w:rsid w:val="00CB7EE9"/>
    <w:rsid w:val="00CC4E94"/>
    <w:rsid w:val="00CD1297"/>
    <w:rsid w:val="00CE3658"/>
    <w:rsid w:val="00CE4B42"/>
    <w:rsid w:val="00CE5BD1"/>
    <w:rsid w:val="00D03803"/>
    <w:rsid w:val="00D06DDA"/>
    <w:rsid w:val="00D23FB2"/>
    <w:rsid w:val="00D2756F"/>
    <w:rsid w:val="00D36DF6"/>
    <w:rsid w:val="00D36F77"/>
    <w:rsid w:val="00D41445"/>
    <w:rsid w:val="00D4674A"/>
    <w:rsid w:val="00D50EAC"/>
    <w:rsid w:val="00D75403"/>
    <w:rsid w:val="00D762AF"/>
    <w:rsid w:val="00D7636C"/>
    <w:rsid w:val="00D820B2"/>
    <w:rsid w:val="00D83C25"/>
    <w:rsid w:val="00DA058F"/>
    <w:rsid w:val="00DA685F"/>
    <w:rsid w:val="00DB3021"/>
    <w:rsid w:val="00DB65E3"/>
    <w:rsid w:val="00DC0722"/>
    <w:rsid w:val="00DC2F50"/>
    <w:rsid w:val="00DD28DF"/>
    <w:rsid w:val="00DD63F8"/>
    <w:rsid w:val="00DE00FC"/>
    <w:rsid w:val="00DE0C27"/>
    <w:rsid w:val="00DE123C"/>
    <w:rsid w:val="00DE490F"/>
    <w:rsid w:val="00DE6633"/>
    <w:rsid w:val="00DE6E8E"/>
    <w:rsid w:val="00DE7638"/>
    <w:rsid w:val="00DF039F"/>
    <w:rsid w:val="00DF6F3F"/>
    <w:rsid w:val="00E00298"/>
    <w:rsid w:val="00E00C41"/>
    <w:rsid w:val="00E075DB"/>
    <w:rsid w:val="00E10FC3"/>
    <w:rsid w:val="00E1261E"/>
    <w:rsid w:val="00E21790"/>
    <w:rsid w:val="00E21E35"/>
    <w:rsid w:val="00E221EA"/>
    <w:rsid w:val="00E232A5"/>
    <w:rsid w:val="00E32092"/>
    <w:rsid w:val="00E36AFA"/>
    <w:rsid w:val="00E426BF"/>
    <w:rsid w:val="00E43437"/>
    <w:rsid w:val="00E45A53"/>
    <w:rsid w:val="00E460DD"/>
    <w:rsid w:val="00E50546"/>
    <w:rsid w:val="00E50B95"/>
    <w:rsid w:val="00E54229"/>
    <w:rsid w:val="00E56E24"/>
    <w:rsid w:val="00E57F8F"/>
    <w:rsid w:val="00E61167"/>
    <w:rsid w:val="00E61977"/>
    <w:rsid w:val="00E6216B"/>
    <w:rsid w:val="00E66736"/>
    <w:rsid w:val="00E734BE"/>
    <w:rsid w:val="00E804BD"/>
    <w:rsid w:val="00E80F63"/>
    <w:rsid w:val="00E866F7"/>
    <w:rsid w:val="00E87D73"/>
    <w:rsid w:val="00E940ED"/>
    <w:rsid w:val="00E94136"/>
    <w:rsid w:val="00E97AB8"/>
    <w:rsid w:val="00EA396E"/>
    <w:rsid w:val="00EB3343"/>
    <w:rsid w:val="00EB6916"/>
    <w:rsid w:val="00EC342B"/>
    <w:rsid w:val="00EC3E26"/>
    <w:rsid w:val="00EC5460"/>
    <w:rsid w:val="00EC6DA2"/>
    <w:rsid w:val="00ED1BF7"/>
    <w:rsid w:val="00ED1DC8"/>
    <w:rsid w:val="00ED62F8"/>
    <w:rsid w:val="00EE49BA"/>
    <w:rsid w:val="00EE6B04"/>
    <w:rsid w:val="00EF0FA6"/>
    <w:rsid w:val="00EF113F"/>
    <w:rsid w:val="00EF1A0F"/>
    <w:rsid w:val="00EF243E"/>
    <w:rsid w:val="00EF346A"/>
    <w:rsid w:val="00F06DAF"/>
    <w:rsid w:val="00F11C5F"/>
    <w:rsid w:val="00F22CDA"/>
    <w:rsid w:val="00F24A30"/>
    <w:rsid w:val="00F44315"/>
    <w:rsid w:val="00F44533"/>
    <w:rsid w:val="00F52BDB"/>
    <w:rsid w:val="00F536E2"/>
    <w:rsid w:val="00F60A78"/>
    <w:rsid w:val="00F62354"/>
    <w:rsid w:val="00F82868"/>
    <w:rsid w:val="00F857C8"/>
    <w:rsid w:val="00F858D0"/>
    <w:rsid w:val="00F92D98"/>
    <w:rsid w:val="00F94A20"/>
    <w:rsid w:val="00FA4EDB"/>
    <w:rsid w:val="00FA5223"/>
    <w:rsid w:val="00FB1165"/>
    <w:rsid w:val="00FC1B91"/>
    <w:rsid w:val="00FD7A08"/>
    <w:rsid w:val="00FE67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61"/>
    <w:rPr>
      <w:rFonts w:ascii="Times New Roman" w:hAnsi="Times New Roman"/>
      <w:sz w:val="24"/>
    </w:rPr>
  </w:style>
  <w:style w:type="paragraph" w:styleId="Heading1">
    <w:name w:val="heading 1"/>
    <w:aliases w:val="Batangtubuh"/>
    <w:basedOn w:val="Normal"/>
    <w:next w:val="Normal"/>
    <w:link w:val="Heading1Char"/>
    <w:autoRedefine/>
    <w:uiPriority w:val="9"/>
    <w:rsid w:val="00061D04"/>
    <w:pPr>
      <w:keepNext/>
      <w:keepLines/>
      <w:ind w:firstLine="426"/>
      <w:outlineLvl w:val="0"/>
    </w:pPr>
    <w:rPr>
      <w:rFonts w:eastAsiaTheme="majorEastAsia" w:cstheme="majorBidi"/>
      <w:bCs/>
      <w:szCs w:val="28"/>
    </w:rPr>
  </w:style>
  <w:style w:type="paragraph" w:styleId="Heading2">
    <w:name w:val="heading 2"/>
    <w:aliases w:val="Arab Teks"/>
    <w:basedOn w:val="Normal"/>
    <w:next w:val="Normal"/>
    <w:link w:val="Heading2Char"/>
    <w:autoRedefine/>
    <w:uiPriority w:val="9"/>
    <w:unhideWhenUsed/>
    <w:qFormat/>
    <w:rsid w:val="00634CDE"/>
    <w:pPr>
      <w:widowControl w:val="0"/>
      <w:bidi/>
      <w:ind w:left="193" w:right="284" w:firstLine="425"/>
      <w:outlineLvl w:val="1"/>
    </w:pPr>
    <w:rPr>
      <w:rFonts w:ascii="Traditional Arabic" w:eastAsiaTheme="majorEastAsia" w:hAnsi="Traditional Arabic" w:cs="Traditional Arabic"/>
      <w:bCs/>
      <w:szCs w:val="28"/>
    </w:rPr>
  </w:style>
  <w:style w:type="paragraph" w:styleId="Heading3">
    <w:name w:val="heading 3"/>
    <w:aliases w:val="Terjemahan"/>
    <w:basedOn w:val="Normal"/>
    <w:next w:val="Normal"/>
    <w:link w:val="Heading3Char"/>
    <w:autoRedefine/>
    <w:uiPriority w:val="9"/>
    <w:unhideWhenUsed/>
    <w:qFormat/>
    <w:rsid w:val="00322129"/>
    <w:pPr>
      <w:widowControl w:val="0"/>
      <w:spacing w:line="300" w:lineRule="exact"/>
      <w:ind w:left="284" w:right="284" w:firstLine="510"/>
      <w:outlineLvl w:val="2"/>
    </w:pPr>
    <w:rPr>
      <w:rFonts w:eastAsiaTheme="majorEastAsia" w:cstheme="majorBidi"/>
      <w:bCs/>
      <w:lang w:eastAsia="zh-CN"/>
    </w:rPr>
  </w:style>
  <w:style w:type="paragraph" w:styleId="Heading4">
    <w:name w:val="heading 4"/>
    <w:basedOn w:val="Normal"/>
    <w:next w:val="Normal"/>
    <w:link w:val="Heading4Char"/>
    <w:uiPriority w:val="9"/>
    <w:unhideWhenUsed/>
    <w:qFormat/>
    <w:rsid w:val="00870C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Daftar Pustaka"/>
    <w:basedOn w:val="Normal"/>
    <w:next w:val="Normal"/>
    <w:link w:val="Heading5Char"/>
    <w:autoRedefine/>
    <w:uiPriority w:val="9"/>
    <w:unhideWhenUsed/>
    <w:qFormat/>
    <w:rsid w:val="008D6175"/>
    <w:pPr>
      <w:widowControl w:val="0"/>
      <w:spacing w:before="120" w:after="120" w:line="300" w:lineRule="exact"/>
      <w:ind w:left="72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tangtubuh Char"/>
    <w:basedOn w:val="DefaultParagraphFont"/>
    <w:link w:val="Heading1"/>
    <w:uiPriority w:val="9"/>
    <w:rsid w:val="00061D04"/>
    <w:rPr>
      <w:rFonts w:ascii="Times New Roman" w:eastAsiaTheme="majorEastAsia" w:hAnsi="Times New Roman" w:cstheme="majorBidi"/>
      <w:bCs/>
      <w:sz w:val="24"/>
      <w:szCs w:val="28"/>
    </w:rPr>
  </w:style>
  <w:style w:type="paragraph" w:styleId="NoSpacing">
    <w:name w:val="No Spacing"/>
    <w:aliases w:val="Batang Tubuh"/>
    <w:uiPriority w:val="1"/>
    <w:rsid w:val="000D4BE2"/>
    <w:pPr>
      <w:ind w:firstLine="851"/>
    </w:pPr>
    <w:rPr>
      <w:rFonts w:ascii="Times New Roman" w:eastAsiaTheme="majorEastAsia" w:hAnsi="Times New Roman" w:cs="Traditional Arabic"/>
      <w:bCs/>
      <w:sz w:val="24"/>
      <w:szCs w:val="28"/>
    </w:rPr>
  </w:style>
  <w:style w:type="paragraph" w:styleId="FootnoteText">
    <w:name w:val="footnote text"/>
    <w:basedOn w:val="Normal"/>
    <w:link w:val="FootnoteTextChar"/>
    <w:autoRedefine/>
    <w:uiPriority w:val="99"/>
    <w:unhideWhenUsed/>
    <w:qFormat/>
    <w:rsid w:val="006B7C86"/>
    <w:pPr>
      <w:spacing w:before="120" w:after="120" w:line="280" w:lineRule="exact"/>
      <w:ind w:firstLine="720"/>
    </w:pPr>
    <w:rPr>
      <w:noProof/>
      <w:sz w:val="20"/>
      <w:szCs w:val="24"/>
    </w:rPr>
  </w:style>
  <w:style w:type="character" w:customStyle="1" w:styleId="FootnoteTextChar">
    <w:name w:val="Footnote Text Char"/>
    <w:basedOn w:val="DefaultParagraphFont"/>
    <w:link w:val="FootnoteText"/>
    <w:uiPriority w:val="99"/>
    <w:rsid w:val="006B7C86"/>
    <w:rPr>
      <w:rFonts w:ascii="Times New Roman" w:hAnsi="Times New Roman"/>
      <w:noProof/>
      <w:sz w:val="20"/>
      <w:szCs w:val="24"/>
    </w:rPr>
  </w:style>
  <w:style w:type="character" w:customStyle="1" w:styleId="Heading2Char">
    <w:name w:val="Heading 2 Char"/>
    <w:aliases w:val="Arab Teks Char"/>
    <w:basedOn w:val="DefaultParagraphFont"/>
    <w:link w:val="Heading2"/>
    <w:uiPriority w:val="9"/>
    <w:rsid w:val="00634CDE"/>
    <w:rPr>
      <w:rFonts w:ascii="Traditional Arabic" w:eastAsiaTheme="majorEastAsia" w:hAnsi="Traditional Arabic" w:cs="Traditional Arabic"/>
      <w:bCs/>
      <w:sz w:val="24"/>
      <w:szCs w:val="28"/>
    </w:rPr>
  </w:style>
  <w:style w:type="character" w:customStyle="1" w:styleId="Heading3Char">
    <w:name w:val="Heading 3 Char"/>
    <w:aliases w:val="Terjemahan Char"/>
    <w:basedOn w:val="DefaultParagraphFont"/>
    <w:link w:val="Heading3"/>
    <w:uiPriority w:val="9"/>
    <w:rsid w:val="00322129"/>
    <w:rPr>
      <w:rFonts w:ascii="Times New Roman" w:eastAsiaTheme="majorEastAsia" w:hAnsi="Times New Roman" w:cstheme="majorBidi"/>
      <w:bCs/>
      <w:sz w:val="24"/>
      <w:lang w:eastAsia="zh-CN"/>
    </w:rPr>
  </w:style>
  <w:style w:type="paragraph" w:styleId="Header">
    <w:name w:val="header"/>
    <w:basedOn w:val="Normal"/>
    <w:link w:val="HeaderChar"/>
    <w:uiPriority w:val="99"/>
    <w:unhideWhenUsed/>
    <w:rsid w:val="00423118"/>
    <w:pPr>
      <w:tabs>
        <w:tab w:val="center" w:pos="4320"/>
        <w:tab w:val="right" w:pos="8640"/>
      </w:tabs>
      <w:spacing w:line="240" w:lineRule="auto"/>
    </w:pPr>
  </w:style>
  <w:style w:type="character" w:customStyle="1" w:styleId="HeaderChar">
    <w:name w:val="Header Char"/>
    <w:basedOn w:val="DefaultParagraphFont"/>
    <w:link w:val="Header"/>
    <w:uiPriority w:val="99"/>
    <w:rsid w:val="00423118"/>
    <w:rPr>
      <w:rFonts w:ascii="Times New Roman" w:hAnsi="Times New Roman"/>
      <w:sz w:val="24"/>
    </w:rPr>
  </w:style>
  <w:style w:type="paragraph" w:styleId="Footer">
    <w:name w:val="footer"/>
    <w:basedOn w:val="Normal"/>
    <w:link w:val="FooterChar"/>
    <w:uiPriority w:val="99"/>
    <w:unhideWhenUsed/>
    <w:rsid w:val="00423118"/>
    <w:pPr>
      <w:tabs>
        <w:tab w:val="center" w:pos="4320"/>
        <w:tab w:val="right" w:pos="8640"/>
      </w:tabs>
      <w:spacing w:line="240" w:lineRule="auto"/>
    </w:pPr>
  </w:style>
  <w:style w:type="character" w:customStyle="1" w:styleId="FooterChar">
    <w:name w:val="Footer Char"/>
    <w:basedOn w:val="DefaultParagraphFont"/>
    <w:link w:val="Footer"/>
    <w:uiPriority w:val="99"/>
    <w:rsid w:val="00423118"/>
    <w:rPr>
      <w:rFonts w:ascii="Times New Roman" w:hAnsi="Times New Roman"/>
      <w:sz w:val="24"/>
    </w:rPr>
  </w:style>
  <w:style w:type="character" w:styleId="FootnoteReference">
    <w:name w:val="footnote reference"/>
    <w:basedOn w:val="DefaultParagraphFont"/>
    <w:uiPriority w:val="99"/>
    <w:semiHidden/>
    <w:unhideWhenUsed/>
    <w:rsid w:val="0027728B"/>
    <w:rPr>
      <w:vertAlign w:val="superscript"/>
    </w:rPr>
  </w:style>
  <w:style w:type="character" w:styleId="Hyperlink">
    <w:name w:val="Hyperlink"/>
    <w:basedOn w:val="DefaultParagraphFont"/>
    <w:uiPriority w:val="99"/>
    <w:unhideWhenUsed/>
    <w:rsid w:val="00BD6AB4"/>
    <w:rPr>
      <w:color w:val="0000FF"/>
      <w:u w:val="single"/>
    </w:rPr>
  </w:style>
  <w:style w:type="paragraph" w:styleId="ListParagraph">
    <w:name w:val="List Paragraph"/>
    <w:basedOn w:val="Normal"/>
    <w:uiPriority w:val="34"/>
    <w:qFormat/>
    <w:rsid w:val="002373AD"/>
    <w:pPr>
      <w:ind w:left="720"/>
      <w:contextualSpacing/>
    </w:pPr>
  </w:style>
  <w:style w:type="character" w:styleId="Emphasis">
    <w:name w:val="Emphasis"/>
    <w:basedOn w:val="DefaultParagraphFont"/>
    <w:uiPriority w:val="20"/>
    <w:qFormat/>
    <w:rsid w:val="00870C7F"/>
    <w:rPr>
      <w:i/>
      <w:iCs/>
    </w:rPr>
  </w:style>
  <w:style w:type="character" w:customStyle="1" w:styleId="Heading4Char">
    <w:name w:val="Heading 4 Char"/>
    <w:basedOn w:val="DefaultParagraphFont"/>
    <w:link w:val="Heading4"/>
    <w:uiPriority w:val="9"/>
    <w:rsid w:val="00870C7F"/>
    <w:rPr>
      <w:rFonts w:asciiTheme="majorHAnsi" w:eastAsiaTheme="majorEastAsia" w:hAnsiTheme="majorHAnsi" w:cstheme="majorBidi"/>
      <w:b/>
      <w:bCs/>
      <w:i/>
      <w:iCs/>
      <w:color w:val="4F81BD" w:themeColor="accent1"/>
      <w:sz w:val="24"/>
    </w:rPr>
  </w:style>
  <w:style w:type="character" w:customStyle="1" w:styleId="Heading5Char">
    <w:name w:val="Heading 5 Char"/>
    <w:aliases w:val="Daftar Pustaka Char"/>
    <w:basedOn w:val="DefaultParagraphFont"/>
    <w:link w:val="Heading5"/>
    <w:uiPriority w:val="9"/>
    <w:rsid w:val="008D6175"/>
    <w:rPr>
      <w:rFonts w:ascii="Times New Roman" w:eastAsiaTheme="majorEastAsia" w:hAnsi="Times New Roman" w:cstheme="majorBidi"/>
      <w:sz w:val="24"/>
    </w:rPr>
  </w:style>
  <w:style w:type="character" w:styleId="FollowedHyperlink">
    <w:name w:val="FollowedHyperlink"/>
    <w:basedOn w:val="DefaultParagraphFont"/>
    <w:uiPriority w:val="99"/>
    <w:semiHidden/>
    <w:unhideWhenUsed/>
    <w:rsid w:val="000E30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61"/>
    <w:rPr>
      <w:rFonts w:ascii="Times New Roman" w:hAnsi="Times New Roman"/>
      <w:sz w:val="24"/>
    </w:rPr>
  </w:style>
  <w:style w:type="paragraph" w:styleId="Heading1">
    <w:name w:val="heading 1"/>
    <w:aliases w:val="Batangtubuh"/>
    <w:basedOn w:val="Normal"/>
    <w:next w:val="Normal"/>
    <w:link w:val="Heading1Char"/>
    <w:autoRedefine/>
    <w:uiPriority w:val="9"/>
    <w:rsid w:val="00061D04"/>
    <w:pPr>
      <w:keepNext/>
      <w:keepLines/>
      <w:ind w:firstLine="426"/>
      <w:outlineLvl w:val="0"/>
    </w:pPr>
    <w:rPr>
      <w:rFonts w:eastAsiaTheme="majorEastAsia" w:cstheme="majorBidi"/>
      <w:bCs/>
      <w:szCs w:val="28"/>
    </w:rPr>
  </w:style>
  <w:style w:type="paragraph" w:styleId="Heading2">
    <w:name w:val="heading 2"/>
    <w:aliases w:val="Arab Teks"/>
    <w:basedOn w:val="Normal"/>
    <w:next w:val="Normal"/>
    <w:link w:val="Heading2Char"/>
    <w:autoRedefine/>
    <w:uiPriority w:val="9"/>
    <w:unhideWhenUsed/>
    <w:qFormat/>
    <w:rsid w:val="00634CDE"/>
    <w:pPr>
      <w:widowControl w:val="0"/>
      <w:bidi/>
      <w:ind w:left="193" w:right="284" w:firstLine="425"/>
      <w:outlineLvl w:val="1"/>
    </w:pPr>
    <w:rPr>
      <w:rFonts w:ascii="Traditional Arabic" w:eastAsiaTheme="majorEastAsia" w:hAnsi="Traditional Arabic" w:cs="Traditional Arabic"/>
      <w:bCs/>
      <w:szCs w:val="28"/>
    </w:rPr>
  </w:style>
  <w:style w:type="paragraph" w:styleId="Heading3">
    <w:name w:val="heading 3"/>
    <w:aliases w:val="Terjemahan"/>
    <w:basedOn w:val="Normal"/>
    <w:next w:val="Normal"/>
    <w:link w:val="Heading3Char"/>
    <w:autoRedefine/>
    <w:uiPriority w:val="9"/>
    <w:unhideWhenUsed/>
    <w:qFormat/>
    <w:rsid w:val="00322129"/>
    <w:pPr>
      <w:widowControl w:val="0"/>
      <w:spacing w:line="300" w:lineRule="exact"/>
      <w:ind w:left="284" w:right="284" w:firstLine="510"/>
      <w:outlineLvl w:val="2"/>
    </w:pPr>
    <w:rPr>
      <w:rFonts w:eastAsiaTheme="majorEastAsia" w:cstheme="majorBidi"/>
      <w:bCs/>
      <w:lang w:eastAsia="zh-CN"/>
    </w:rPr>
  </w:style>
  <w:style w:type="paragraph" w:styleId="Heading4">
    <w:name w:val="heading 4"/>
    <w:basedOn w:val="Normal"/>
    <w:next w:val="Normal"/>
    <w:link w:val="Heading4Char"/>
    <w:uiPriority w:val="9"/>
    <w:unhideWhenUsed/>
    <w:qFormat/>
    <w:rsid w:val="00870C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Daftar Pustaka"/>
    <w:basedOn w:val="Normal"/>
    <w:next w:val="Normal"/>
    <w:link w:val="Heading5Char"/>
    <w:autoRedefine/>
    <w:uiPriority w:val="9"/>
    <w:unhideWhenUsed/>
    <w:qFormat/>
    <w:rsid w:val="008D6175"/>
    <w:pPr>
      <w:widowControl w:val="0"/>
      <w:spacing w:before="120" w:after="120" w:line="300" w:lineRule="exact"/>
      <w:ind w:left="72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tangtubuh Char"/>
    <w:basedOn w:val="DefaultParagraphFont"/>
    <w:link w:val="Heading1"/>
    <w:uiPriority w:val="9"/>
    <w:rsid w:val="00061D04"/>
    <w:rPr>
      <w:rFonts w:ascii="Times New Roman" w:eastAsiaTheme="majorEastAsia" w:hAnsi="Times New Roman" w:cstheme="majorBidi"/>
      <w:bCs/>
      <w:sz w:val="24"/>
      <w:szCs w:val="28"/>
    </w:rPr>
  </w:style>
  <w:style w:type="paragraph" w:styleId="NoSpacing">
    <w:name w:val="No Spacing"/>
    <w:aliases w:val="Batang Tubuh"/>
    <w:uiPriority w:val="1"/>
    <w:rsid w:val="000D4BE2"/>
    <w:pPr>
      <w:ind w:firstLine="851"/>
    </w:pPr>
    <w:rPr>
      <w:rFonts w:ascii="Times New Roman" w:eastAsiaTheme="majorEastAsia" w:hAnsi="Times New Roman" w:cs="Traditional Arabic"/>
      <w:bCs/>
      <w:sz w:val="24"/>
      <w:szCs w:val="28"/>
    </w:rPr>
  </w:style>
  <w:style w:type="paragraph" w:styleId="FootnoteText">
    <w:name w:val="footnote text"/>
    <w:basedOn w:val="Normal"/>
    <w:link w:val="FootnoteTextChar"/>
    <w:autoRedefine/>
    <w:uiPriority w:val="99"/>
    <w:unhideWhenUsed/>
    <w:qFormat/>
    <w:rsid w:val="006B7C86"/>
    <w:pPr>
      <w:spacing w:before="120" w:after="120" w:line="280" w:lineRule="exact"/>
      <w:ind w:firstLine="720"/>
    </w:pPr>
    <w:rPr>
      <w:noProof/>
      <w:sz w:val="20"/>
      <w:szCs w:val="24"/>
    </w:rPr>
  </w:style>
  <w:style w:type="character" w:customStyle="1" w:styleId="FootnoteTextChar">
    <w:name w:val="Footnote Text Char"/>
    <w:basedOn w:val="DefaultParagraphFont"/>
    <w:link w:val="FootnoteText"/>
    <w:uiPriority w:val="99"/>
    <w:rsid w:val="006B7C86"/>
    <w:rPr>
      <w:rFonts w:ascii="Times New Roman" w:hAnsi="Times New Roman"/>
      <w:noProof/>
      <w:sz w:val="20"/>
      <w:szCs w:val="24"/>
    </w:rPr>
  </w:style>
  <w:style w:type="character" w:customStyle="1" w:styleId="Heading2Char">
    <w:name w:val="Heading 2 Char"/>
    <w:aliases w:val="Arab Teks Char"/>
    <w:basedOn w:val="DefaultParagraphFont"/>
    <w:link w:val="Heading2"/>
    <w:uiPriority w:val="9"/>
    <w:rsid w:val="00634CDE"/>
    <w:rPr>
      <w:rFonts w:ascii="Traditional Arabic" w:eastAsiaTheme="majorEastAsia" w:hAnsi="Traditional Arabic" w:cs="Traditional Arabic"/>
      <w:bCs/>
      <w:sz w:val="24"/>
      <w:szCs w:val="28"/>
    </w:rPr>
  </w:style>
  <w:style w:type="character" w:customStyle="1" w:styleId="Heading3Char">
    <w:name w:val="Heading 3 Char"/>
    <w:aliases w:val="Terjemahan Char"/>
    <w:basedOn w:val="DefaultParagraphFont"/>
    <w:link w:val="Heading3"/>
    <w:uiPriority w:val="9"/>
    <w:rsid w:val="00322129"/>
    <w:rPr>
      <w:rFonts w:ascii="Times New Roman" w:eastAsiaTheme="majorEastAsia" w:hAnsi="Times New Roman" w:cstheme="majorBidi"/>
      <w:bCs/>
      <w:sz w:val="24"/>
      <w:lang w:eastAsia="zh-CN"/>
    </w:rPr>
  </w:style>
  <w:style w:type="paragraph" w:styleId="Header">
    <w:name w:val="header"/>
    <w:basedOn w:val="Normal"/>
    <w:link w:val="HeaderChar"/>
    <w:uiPriority w:val="99"/>
    <w:unhideWhenUsed/>
    <w:rsid w:val="00423118"/>
    <w:pPr>
      <w:tabs>
        <w:tab w:val="center" w:pos="4320"/>
        <w:tab w:val="right" w:pos="8640"/>
      </w:tabs>
      <w:spacing w:line="240" w:lineRule="auto"/>
    </w:pPr>
  </w:style>
  <w:style w:type="character" w:customStyle="1" w:styleId="HeaderChar">
    <w:name w:val="Header Char"/>
    <w:basedOn w:val="DefaultParagraphFont"/>
    <w:link w:val="Header"/>
    <w:uiPriority w:val="99"/>
    <w:rsid w:val="00423118"/>
    <w:rPr>
      <w:rFonts w:ascii="Times New Roman" w:hAnsi="Times New Roman"/>
      <w:sz w:val="24"/>
    </w:rPr>
  </w:style>
  <w:style w:type="paragraph" w:styleId="Footer">
    <w:name w:val="footer"/>
    <w:basedOn w:val="Normal"/>
    <w:link w:val="FooterChar"/>
    <w:uiPriority w:val="99"/>
    <w:unhideWhenUsed/>
    <w:rsid w:val="00423118"/>
    <w:pPr>
      <w:tabs>
        <w:tab w:val="center" w:pos="4320"/>
        <w:tab w:val="right" w:pos="8640"/>
      </w:tabs>
      <w:spacing w:line="240" w:lineRule="auto"/>
    </w:pPr>
  </w:style>
  <w:style w:type="character" w:customStyle="1" w:styleId="FooterChar">
    <w:name w:val="Footer Char"/>
    <w:basedOn w:val="DefaultParagraphFont"/>
    <w:link w:val="Footer"/>
    <w:uiPriority w:val="99"/>
    <w:rsid w:val="00423118"/>
    <w:rPr>
      <w:rFonts w:ascii="Times New Roman" w:hAnsi="Times New Roman"/>
      <w:sz w:val="24"/>
    </w:rPr>
  </w:style>
  <w:style w:type="character" w:styleId="FootnoteReference">
    <w:name w:val="footnote reference"/>
    <w:basedOn w:val="DefaultParagraphFont"/>
    <w:uiPriority w:val="99"/>
    <w:semiHidden/>
    <w:unhideWhenUsed/>
    <w:rsid w:val="0027728B"/>
    <w:rPr>
      <w:vertAlign w:val="superscript"/>
    </w:rPr>
  </w:style>
  <w:style w:type="character" w:styleId="Hyperlink">
    <w:name w:val="Hyperlink"/>
    <w:basedOn w:val="DefaultParagraphFont"/>
    <w:uiPriority w:val="99"/>
    <w:unhideWhenUsed/>
    <w:rsid w:val="00BD6AB4"/>
    <w:rPr>
      <w:color w:val="0000FF"/>
      <w:u w:val="single"/>
    </w:rPr>
  </w:style>
  <w:style w:type="paragraph" w:styleId="ListParagraph">
    <w:name w:val="List Paragraph"/>
    <w:basedOn w:val="Normal"/>
    <w:uiPriority w:val="34"/>
    <w:qFormat/>
    <w:rsid w:val="002373AD"/>
    <w:pPr>
      <w:ind w:left="720"/>
      <w:contextualSpacing/>
    </w:pPr>
  </w:style>
  <w:style w:type="character" w:styleId="Emphasis">
    <w:name w:val="Emphasis"/>
    <w:basedOn w:val="DefaultParagraphFont"/>
    <w:uiPriority w:val="20"/>
    <w:qFormat/>
    <w:rsid w:val="00870C7F"/>
    <w:rPr>
      <w:i/>
      <w:iCs/>
    </w:rPr>
  </w:style>
  <w:style w:type="character" w:customStyle="1" w:styleId="Heading4Char">
    <w:name w:val="Heading 4 Char"/>
    <w:basedOn w:val="DefaultParagraphFont"/>
    <w:link w:val="Heading4"/>
    <w:uiPriority w:val="9"/>
    <w:rsid w:val="00870C7F"/>
    <w:rPr>
      <w:rFonts w:asciiTheme="majorHAnsi" w:eastAsiaTheme="majorEastAsia" w:hAnsiTheme="majorHAnsi" w:cstheme="majorBidi"/>
      <w:b/>
      <w:bCs/>
      <w:i/>
      <w:iCs/>
      <w:color w:val="4F81BD" w:themeColor="accent1"/>
      <w:sz w:val="24"/>
    </w:rPr>
  </w:style>
  <w:style w:type="character" w:customStyle="1" w:styleId="Heading5Char">
    <w:name w:val="Heading 5 Char"/>
    <w:aliases w:val="Daftar Pustaka Char"/>
    <w:basedOn w:val="DefaultParagraphFont"/>
    <w:link w:val="Heading5"/>
    <w:uiPriority w:val="9"/>
    <w:rsid w:val="008D6175"/>
    <w:rPr>
      <w:rFonts w:ascii="Times New Roman" w:eastAsiaTheme="majorEastAsia" w:hAnsi="Times New Roman" w:cstheme="majorBidi"/>
      <w:sz w:val="24"/>
    </w:rPr>
  </w:style>
  <w:style w:type="character" w:styleId="FollowedHyperlink">
    <w:name w:val="FollowedHyperlink"/>
    <w:basedOn w:val="DefaultParagraphFont"/>
    <w:uiPriority w:val="99"/>
    <w:semiHidden/>
    <w:unhideWhenUsed/>
    <w:rsid w:val="000E3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9463">
      <w:bodyDiv w:val="1"/>
      <w:marLeft w:val="0"/>
      <w:marRight w:val="0"/>
      <w:marTop w:val="0"/>
      <w:marBottom w:val="0"/>
      <w:divBdr>
        <w:top w:val="none" w:sz="0" w:space="0" w:color="auto"/>
        <w:left w:val="none" w:sz="0" w:space="0" w:color="auto"/>
        <w:bottom w:val="none" w:sz="0" w:space="0" w:color="auto"/>
        <w:right w:val="none" w:sz="0" w:space="0" w:color="auto"/>
      </w:divBdr>
    </w:div>
    <w:div w:id="208151839">
      <w:bodyDiv w:val="1"/>
      <w:marLeft w:val="0"/>
      <w:marRight w:val="0"/>
      <w:marTop w:val="0"/>
      <w:marBottom w:val="0"/>
      <w:divBdr>
        <w:top w:val="none" w:sz="0" w:space="0" w:color="auto"/>
        <w:left w:val="none" w:sz="0" w:space="0" w:color="auto"/>
        <w:bottom w:val="none" w:sz="0" w:space="0" w:color="auto"/>
        <w:right w:val="none" w:sz="0" w:space="0" w:color="auto"/>
      </w:divBdr>
    </w:div>
    <w:div w:id="703140307">
      <w:bodyDiv w:val="1"/>
      <w:marLeft w:val="0"/>
      <w:marRight w:val="0"/>
      <w:marTop w:val="0"/>
      <w:marBottom w:val="0"/>
      <w:divBdr>
        <w:top w:val="none" w:sz="0" w:space="0" w:color="auto"/>
        <w:left w:val="none" w:sz="0" w:space="0" w:color="auto"/>
        <w:bottom w:val="none" w:sz="0" w:space="0" w:color="auto"/>
        <w:right w:val="none" w:sz="0" w:space="0" w:color="auto"/>
      </w:divBdr>
    </w:div>
    <w:div w:id="958340834">
      <w:bodyDiv w:val="1"/>
      <w:marLeft w:val="0"/>
      <w:marRight w:val="0"/>
      <w:marTop w:val="0"/>
      <w:marBottom w:val="0"/>
      <w:divBdr>
        <w:top w:val="none" w:sz="0" w:space="0" w:color="auto"/>
        <w:left w:val="none" w:sz="0" w:space="0" w:color="auto"/>
        <w:bottom w:val="none" w:sz="0" w:space="0" w:color="auto"/>
        <w:right w:val="none" w:sz="0" w:space="0" w:color="auto"/>
      </w:divBdr>
    </w:div>
    <w:div w:id="1280068720">
      <w:bodyDiv w:val="1"/>
      <w:marLeft w:val="0"/>
      <w:marRight w:val="0"/>
      <w:marTop w:val="0"/>
      <w:marBottom w:val="0"/>
      <w:divBdr>
        <w:top w:val="none" w:sz="0" w:space="0" w:color="auto"/>
        <w:left w:val="none" w:sz="0" w:space="0" w:color="auto"/>
        <w:bottom w:val="none" w:sz="0" w:space="0" w:color="auto"/>
        <w:right w:val="none" w:sz="0" w:space="0" w:color="auto"/>
      </w:divBdr>
    </w:div>
    <w:div w:id="1414938963">
      <w:bodyDiv w:val="1"/>
      <w:marLeft w:val="0"/>
      <w:marRight w:val="0"/>
      <w:marTop w:val="0"/>
      <w:marBottom w:val="0"/>
      <w:divBdr>
        <w:top w:val="none" w:sz="0" w:space="0" w:color="auto"/>
        <w:left w:val="none" w:sz="0" w:space="0" w:color="auto"/>
        <w:bottom w:val="none" w:sz="0" w:space="0" w:color="auto"/>
        <w:right w:val="none" w:sz="0" w:space="0" w:color="auto"/>
      </w:divBdr>
    </w:div>
    <w:div w:id="1508062176">
      <w:bodyDiv w:val="1"/>
      <w:marLeft w:val="0"/>
      <w:marRight w:val="0"/>
      <w:marTop w:val="0"/>
      <w:marBottom w:val="0"/>
      <w:divBdr>
        <w:top w:val="none" w:sz="0" w:space="0" w:color="auto"/>
        <w:left w:val="none" w:sz="0" w:space="0" w:color="auto"/>
        <w:bottom w:val="none" w:sz="0" w:space="0" w:color="auto"/>
        <w:right w:val="none" w:sz="0" w:space="0" w:color="auto"/>
      </w:divBdr>
    </w:div>
    <w:div w:id="15561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publika.co.id/berita/jurnalisme-warga/wacana/16/01/28/o1n41d336-menelisik-perjalanan-lgbt-di-indones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sional.tempo.co/read/1044655/pakar-hukum-ada-kekosongan-hukum-tentang-lgbt-di-indones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i.or.id/wp-content/uploads/2017/02/Lesbian-Gay-Sodomi-dan-Pencabula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putan6.com/global/read/2963642/4-kasus-lgbt-di-indonesia-yang-disorot-dunia" TargetMode="External"/><Relationship Id="rId5" Type="http://schemas.openxmlformats.org/officeDocument/2006/relationships/settings" Target="settings.xml"/><Relationship Id="rId15" Type="http://schemas.openxmlformats.org/officeDocument/2006/relationships/hyperlink" Target="https://nasional.sindonews.com/read/1277651/15/komunis-dan-lgbt-menjadi-kelompok-yang-paling-tak-disukai-di-indonesia-1517218449" TargetMode="External"/><Relationship Id="rId10" Type="http://schemas.openxmlformats.org/officeDocument/2006/relationships/hyperlink" Target="https://nasional.tempo.co/read/1057953/dpr-dan-mui-sepakat-lgbt-dipidana-dalam-rku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behan.khalik@uin-alauddin.ac.id" TargetMode="External"/><Relationship Id="rId14" Type="http://schemas.openxmlformats.org/officeDocument/2006/relationships/hyperlink" Target="http://www.republika.co.id/berita/jurnalisme-warga/wacana/17/12/22/p1cv94396-lgbt-konspirasi-global-acaman-keluarga-indones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epublika.co.id/berita/jurnalisme-warga/wacana/17/12/22/p1cv94396-lgbt-konspirasi-global-acaman-keluarga-indonesia" TargetMode="External"/><Relationship Id="rId3" Type="http://schemas.openxmlformats.org/officeDocument/2006/relationships/hyperlink" Target="http://www.republika.co.id/berita/jurnalisme-warga/wacana/16/01/28/o1n41d336-menelisik-perjalanan-lgbt-di-indonesia" TargetMode="External"/><Relationship Id="rId7" Type="http://schemas.openxmlformats.org/officeDocument/2006/relationships/hyperlink" Target="http://www.republika.co.id/berita/jurnalisme-warga/wacana/16/01/28/o1n41d336-menelisik-perjalanan-lgbt-di-indonesia" TargetMode="External"/><Relationship Id="rId12" Type="http://schemas.openxmlformats.org/officeDocument/2006/relationships/hyperlink" Target="https://nasional.tempo.co/read/1057953/dpr-dan-mui-sepakat-lgbt-dipidana-dalam-rkuhp" TargetMode="External"/><Relationship Id="rId2" Type="http://schemas.openxmlformats.org/officeDocument/2006/relationships/hyperlink" Target="https://nasional.tempo.co/read/1044655/pakar-hukum-ada-kekosongan-hukum-tentang-lgbt-di-indonesia" TargetMode="External"/><Relationship Id="rId1" Type="http://schemas.openxmlformats.org/officeDocument/2006/relationships/hyperlink" Target="https://www.liputan6.com/global/read/2963642/4-kasus-lgbt-di-indonesia-yang-disorot-dunia" TargetMode="External"/><Relationship Id="rId6" Type="http://schemas.openxmlformats.org/officeDocument/2006/relationships/hyperlink" Target="http://www.republika.co.id/berita/jurnalisme-warga/wacana/16/01/28/o1n41d336-menelisik-perjalanan-lgbt-di-indonesia" TargetMode="External"/><Relationship Id="rId11" Type="http://schemas.openxmlformats.org/officeDocument/2006/relationships/hyperlink" Target="https://nasional.tempo.co/read/1057953/dpr-dan-mui-sepakat-lgbt-dipidana-dalam-rkuhp" TargetMode="External"/><Relationship Id="rId5" Type="http://schemas.openxmlformats.org/officeDocument/2006/relationships/hyperlink" Target="http://www.republika.co.id/berita/jurnalisme-warga/wacana/16/01/28/o1n41d336-menelisik-perjalanan-lgbt-di-indonesia" TargetMode="External"/><Relationship Id="rId10" Type="http://schemas.openxmlformats.org/officeDocument/2006/relationships/hyperlink" Target="https://lampung.kemenag.go.id/files/lampung/file/file/MUI/xdob1460683589.pdf" TargetMode="External"/><Relationship Id="rId4" Type="http://schemas.openxmlformats.org/officeDocument/2006/relationships/hyperlink" Target="http://www.republika.co.id/berita/jurnalisme-warga/wacana/16/01/28/o1n41d336-menelisik-perjalanan-lgbt-di-indonesia" TargetMode="External"/><Relationship Id="rId9" Type="http://schemas.openxmlformats.org/officeDocument/2006/relationships/hyperlink" Target="https://nasional.sindonews.com/read/1277651/15/komunis-dan-lgbt-menjadi-kelompok-yang-paling-tak-disukai-di-indonesia-1517218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0040-8693-4217-B9E5-FD011839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2019-11-25T17:18:00Z</dcterms:created>
  <dcterms:modified xsi:type="dcterms:W3CDTF">2019-11-25T17:18:00Z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84f72797-22f5-3ed6-8bf6-ac3ecc0e473d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