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A52E5F" w14:textId="15C3DF8A" w:rsidR="00DF229C" w:rsidRPr="0041486A" w:rsidRDefault="00DF229C" w:rsidP="005265AB">
      <w:pPr>
        <w:spacing w:after="0" w:line="240" w:lineRule="auto"/>
        <w:jc w:val="center"/>
        <w:rPr>
          <w:color w:val="000000" w:themeColor="text1"/>
          <w:sz w:val="28"/>
          <w:szCs w:val="28"/>
          <w:lang w:val="en-US"/>
        </w:rPr>
      </w:pPr>
    </w:p>
    <w:p w14:paraId="325131A0" w14:textId="77777777" w:rsidR="008F23BB" w:rsidRPr="0041486A" w:rsidRDefault="008F23BB" w:rsidP="00B23860">
      <w:pPr>
        <w:spacing w:after="0" w:line="240" w:lineRule="auto"/>
        <w:jc w:val="center"/>
        <w:rPr>
          <w:rFonts w:ascii="Bookman Old Style" w:hAnsi="Bookman Old Style" w:cs="Calibri"/>
          <w:color w:val="000000" w:themeColor="text1"/>
          <w:sz w:val="20"/>
          <w:szCs w:val="20"/>
          <w:shd w:val="clear" w:color="auto" w:fill="FFFFFF"/>
          <w:lang w:val="en-US"/>
        </w:rPr>
      </w:pPr>
    </w:p>
    <w:p w14:paraId="2A9B1AEF" w14:textId="3A0110EF" w:rsidR="002958E5" w:rsidRPr="0041486A" w:rsidRDefault="002958E5" w:rsidP="00B23860">
      <w:pPr>
        <w:spacing w:after="0" w:line="240" w:lineRule="auto"/>
        <w:jc w:val="center"/>
        <w:rPr>
          <w:rFonts w:ascii="Bookman Old Style" w:hAnsi="Bookman Old Style" w:cs="Calibri"/>
          <w:b/>
          <w:bCs/>
          <w:color w:val="000000" w:themeColor="text1"/>
          <w:sz w:val="20"/>
          <w:szCs w:val="20"/>
          <w:shd w:val="clear" w:color="auto" w:fill="FFFFFF"/>
          <w:vertAlign w:val="superscript"/>
          <w:lang w:val="en-US"/>
        </w:rPr>
      </w:pPr>
      <w:bookmarkStart w:id="0" w:name="_GoBack"/>
      <w:bookmarkEnd w:id="0"/>
    </w:p>
    <w:p w14:paraId="5E825653" w14:textId="312BFC93" w:rsidR="008F23BB" w:rsidRPr="0041486A" w:rsidRDefault="008F23BB" w:rsidP="00B23860">
      <w:pPr>
        <w:tabs>
          <w:tab w:val="left" w:pos="4032"/>
        </w:tabs>
        <w:spacing w:after="0" w:line="240" w:lineRule="auto"/>
        <w:contextualSpacing/>
        <w:jc w:val="center"/>
        <w:rPr>
          <w:rFonts w:ascii="Bookman Old Style" w:hAnsi="Bookman Old Style" w:cs="Calibri"/>
          <w:color w:val="000000" w:themeColor="text1"/>
          <w:sz w:val="14"/>
          <w:szCs w:val="14"/>
          <w:lang w:val="en-US"/>
        </w:rPr>
      </w:pPr>
      <w:r w:rsidRPr="0041486A">
        <w:rPr>
          <w:rFonts w:ascii="Bookman Old Style" w:hAnsi="Bookman Old Style" w:cs="Calibri"/>
          <w:color w:val="000000" w:themeColor="text1"/>
          <w:sz w:val="20"/>
          <w:szCs w:val="20"/>
          <w:vertAlign w:val="superscript"/>
          <w:lang w:val="en-US"/>
        </w:rPr>
        <w:t>1</w:t>
      </w:r>
      <w:r w:rsidR="00355F15" w:rsidRPr="0041486A">
        <w:rPr>
          <w:rFonts w:ascii="Bookman Old Style" w:hAnsi="Bookman Old Style" w:cs="Calibri"/>
          <w:color w:val="000000" w:themeColor="text1"/>
          <w:sz w:val="20"/>
          <w:szCs w:val="20"/>
          <w:vertAlign w:val="superscript"/>
          <w:lang w:val="en-US"/>
        </w:rPr>
        <w:t>,</w:t>
      </w:r>
      <w:r w:rsidR="005265AB" w:rsidRPr="0041486A">
        <w:rPr>
          <w:rFonts w:ascii="Bookman Old Style" w:hAnsi="Bookman Old Style" w:cs="Calibri"/>
          <w:color w:val="000000" w:themeColor="text1"/>
          <w:sz w:val="20"/>
          <w:szCs w:val="20"/>
          <w:vertAlign w:val="superscript"/>
          <w:lang w:val="en-US"/>
        </w:rPr>
        <w:t>2,</w:t>
      </w:r>
      <w:r w:rsidR="00355F15" w:rsidRPr="0041486A">
        <w:rPr>
          <w:rFonts w:ascii="Bookman Old Style" w:hAnsi="Bookman Old Style" w:cs="Calibri"/>
          <w:color w:val="000000" w:themeColor="text1"/>
          <w:sz w:val="20"/>
          <w:szCs w:val="20"/>
          <w:vertAlign w:val="superscript"/>
          <w:lang w:val="en-US"/>
        </w:rPr>
        <w:t>3</w:t>
      </w:r>
      <w:r w:rsidRPr="0041486A">
        <w:rPr>
          <w:rFonts w:ascii="Bookman Old Style" w:hAnsi="Bookman Old Style" w:cs="Calibri"/>
          <w:color w:val="000000" w:themeColor="text1"/>
          <w:sz w:val="20"/>
          <w:szCs w:val="20"/>
          <w:vertAlign w:val="superscript"/>
          <w:lang w:val="en-US"/>
        </w:rPr>
        <w:t xml:space="preserve"> </w:t>
      </w:r>
      <w:r w:rsidRPr="0041486A">
        <w:rPr>
          <w:rFonts w:ascii="Bookman Old Style" w:hAnsi="Bookman Old Style"/>
          <w:color w:val="000000" w:themeColor="text1"/>
          <w:sz w:val="20"/>
          <w:szCs w:val="20"/>
          <w:lang w:val="en-US"/>
        </w:rPr>
        <w:t xml:space="preserve">Jurusan </w:t>
      </w:r>
      <w:r w:rsidR="00314EA4" w:rsidRPr="0041486A">
        <w:rPr>
          <w:rFonts w:ascii="Bookman Old Style" w:hAnsi="Bookman Old Style"/>
          <w:color w:val="000000" w:themeColor="text1"/>
          <w:sz w:val="20"/>
          <w:szCs w:val="20"/>
          <w:lang w:val="en-US"/>
        </w:rPr>
        <w:t>Akuntansi</w:t>
      </w:r>
      <w:r w:rsidRPr="0041486A">
        <w:rPr>
          <w:rFonts w:ascii="Bookman Old Style" w:hAnsi="Bookman Old Style"/>
          <w:color w:val="000000" w:themeColor="text1"/>
          <w:sz w:val="20"/>
          <w:szCs w:val="20"/>
          <w:lang w:val="en-US"/>
        </w:rPr>
        <w:t xml:space="preserve">, </w:t>
      </w:r>
      <w:r w:rsidRPr="0041486A">
        <w:rPr>
          <w:rFonts w:ascii="Bookman Old Style" w:hAnsi="Bookman Old Style" w:cs="Calibri"/>
          <w:color w:val="000000" w:themeColor="text1"/>
          <w:sz w:val="20"/>
          <w:szCs w:val="20"/>
          <w:lang w:val="en-US"/>
        </w:rPr>
        <w:t xml:space="preserve">Universitas </w:t>
      </w:r>
      <w:r w:rsidR="00314EA4" w:rsidRPr="0041486A">
        <w:rPr>
          <w:rFonts w:ascii="Bookman Old Style" w:hAnsi="Bookman Old Style" w:cs="Calibri"/>
          <w:color w:val="000000" w:themeColor="text1"/>
          <w:sz w:val="20"/>
          <w:szCs w:val="20"/>
          <w:lang w:val="en-US"/>
        </w:rPr>
        <w:t>Islam Negeri Alauddin Makassar</w:t>
      </w:r>
      <w:r w:rsidRPr="0041486A">
        <w:rPr>
          <w:rFonts w:ascii="Bookman Old Style" w:hAnsi="Bookman Old Style" w:cs="Calibri"/>
          <w:color w:val="000000" w:themeColor="text1"/>
          <w:sz w:val="20"/>
          <w:szCs w:val="20"/>
          <w:lang w:val="en-US"/>
        </w:rPr>
        <w:t xml:space="preserve">, </w:t>
      </w:r>
      <w:r w:rsidR="00314EA4" w:rsidRPr="0041486A">
        <w:rPr>
          <w:rFonts w:ascii="Bookman Old Style" w:hAnsi="Bookman Old Style" w:cs="Calibri"/>
          <w:color w:val="000000" w:themeColor="text1"/>
          <w:sz w:val="20"/>
          <w:szCs w:val="20"/>
          <w:lang w:val="en-US"/>
        </w:rPr>
        <w:t>Indonesia</w:t>
      </w:r>
      <w:r w:rsidRPr="0041486A">
        <w:rPr>
          <w:rFonts w:ascii="Bookman Old Style" w:hAnsi="Bookman Old Style" w:cs="Calibri"/>
          <w:color w:val="000000" w:themeColor="text1"/>
          <w:sz w:val="20"/>
          <w:szCs w:val="20"/>
          <w:lang w:val="en-US"/>
        </w:rPr>
        <w:t>.</w:t>
      </w:r>
    </w:p>
    <w:p w14:paraId="1762B162" w14:textId="0E99E5F8" w:rsidR="006E5860" w:rsidRPr="0041486A" w:rsidRDefault="00B3000F" w:rsidP="00B23860">
      <w:pPr>
        <w:spacing w:after="0" w:line="240" w:lineRule="auto"/>
        <w:jc w:val="center"/>
        <w:rPr>
          <w:rFonts w:ascii="Bookman Old Style" w:hAnsi="Bookman Old Style" w:cs="Calibri"/>
          <w:color w:val="000000" w:themeColor="text1"/>
          <w:sz w:val="20"/>
          <w:szCs w:val="20"/>
          <w:shd w:val="clear" w:color="auto" w:fill="FFFFFF"/>
          <w:vertAlign w:val="superscript"/>
          <w:lang w:val="en-US"/>
        </w:rPr>
      </w:pPr>
      <w:r w:rsidRPr="0041486A">
        <w:rPr>
          <w:rFonts w:ascii="Bookman Old Style" w:hAnsi="Bookman Old Style" w:cs="Calibri"/>
          <w:color w:val="000000" w:themeColor="text1"/>
          <w:sz w:val="20"/>
          <w:szCs w:val="20"/>
          <w:vertAlign w:val="superscript"/>
          <w:lang w:val="en-US"/>
        </w:rPr>
        <mc:AlternateContent>
          <mc:Choice Requires="wps">
            <w:drawing>
              <wp:anchor distT="0" distB="0" distL="114300" distR="114300" simplePos="0" relativeHeight="251662336" behindDoc="0" locked="0" layoutInCell="1" allowOverlap="1" wp14:anchorId="1D246CB5" wp14:editId="1ADC7500">
                <wp:simplePos x="0" y="0"/>
                <wp:positionH relativeFrom="column">
                  <wp:posOffset>-25400</wp:posOffset>
                </wp:positionH>
                <wp:positionV relativeFrom="paragraph">
                  <wp:posOffset>80645</wp:posOffset>
                </wp:positionV>
                <wp:extent cx="561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6000"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BE95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35pt" to="44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" strokecolor="black [3200]" strokeweight="2pt">
                <v:stroke joinstyle="miter"/>
              </v:line>
            </w:pict>
          </mc:Fallback>
        </mc:AlternateContent>
      </w:r>
    </w:p>
    <w:p w14:paraId="02122F50" w14:textId="77777777" w:rsidR="00FB183B" w:rsidRPr="0041486A" w:rsidRDefault="006E5860" w:rsidP="00903259">
      <w:pPr>
        <w:jc w:val="both"/>
        <w:rPr>
          <w:rFonts w:ascii="Bookman Old Style" w:hAnsi="Bookman Old Style"/>
          <w:i/>
          <w:color w:val="000000" w:themeColor="text1"/>
          <w:sz w:val="20"/>
          <w:szCs w:val="20"/>
        </w:rPr>
      </w:pPr>
      <w:r w:rsidRPr="0041486A">
        <w:rPr>
          <w:rFonts w:ascii="Bookman Old Style" w:hAnsi="Bookman Old Style"/>
          <w:b/>
          <w:i/>
          <w:color w:val="000000" w:themeColor="text1"/>
          <w:sz w:val="20"/>
          <w:szCs w:val="20"/>
        </w:rPr>
        <w:t>Abstract</w:t>
      </w:r>
      <w:r w:rsidRPr="0041486A">
        <w:rPr>
          <w:rFonts w:ascii="Bookman Old Style" w:hAnsi="Bookman Old Style"/>
          <w:i/>
          <w:color w:val="000000" w:themeColor="text1"/>
          <w:sz w:val="20"/>
          <w:szCs w:val="20"/>
        </w:rPr>
        <w:t xml:space="preserve">, </w:t>
      </w:r>
      <w:bookmarkStart w:id="1" w:name="_Hlk46043495"/>
      <w:r w:rsidR="00FB183B" w:rsidRPr="0041486A">
        <w:rPr>
          <w:rFonts w:ascii="Bookman Old Style" w:hAnsi="Bookman Old Style"/>
          <w:i/>
          <w:color w:val="000000" w:themeColor="text1"/>
          <w:sz w:val="20"/>
          <w:szCs w:val="20"/>
        </w:rPr>
        <w:t>The purpose of this research is to find out how the method of waqf management and the suitability of the accounting treatment of waqf in the Ministry of Religion Polewali Mandar with PSAK 112. In addition, this study also wants to see how the accountability of waqf management at the Ministry of Religion of Polewali Mandar Regency in the perspective of sharia enterprise theory. This research is a type of qualitative research with a phenomenological study approach which is carried out by using in-depth interviews with predetermined sources. Interview data that has been collected are reduced and then analyzed to make a final conclusion. In order to maintain the quality of the research results, the validity of the data was tested by using triangulation of data sources. The results of the study revealed that the accounting treatment for waqf at the Ministry of Religion of Polewali Mandar Regency was still carried out in a simple manner and referred to the rules issued by the central Ministry of Religion. The accounting treatment of waqf at the Ministry of Religion of Polewali Mandar Regency is not specifically in accordance with PSAK 112 because there is no adjustment in terms of standardization of accounting treatment performed. Furthermore, in the perspective of sharia enterprise theory, the management of waqf carried out by the Ministry of Religion of Polewali Mandar Regency has fulfilled the aspects of accountability and transparency as evidenced by the openness of information and accountability models that are described very straightforwardly.</w:t>
      </w:r>
    </w:p>
    <w:bookmarkEnd w:id="1"/>
    <w:p w14:paraId="7F2CB871" w14:textId="77777777" w:rsidR="00FB183B" w:rsidRPr="0041486A" w:rsidRDefault="006E5860" w:rsidP="00FB183B">
      <w:pPr>
        <w:spacing w:after="0" w:line="240" w:lineRule="auto"/>
        <w:jc w:val="both"/>
        <w:rPr>
          <w:rFonts w:ascii="Bookman Old Style" w:hAnsi="Bookman Old Style" w:cs="Arial"/>
          <w:b/>
          <w:bCs/>
          <w:i/>
          <w:color w:val="000000" w:themeColor="text1"/>
          <w:sz w:val="20"/>
          <w:szCs w:val="20"/>
          <w:lang w:val="en-US"/>
        </w:rPr>
      </w:pPr>
      <w:r w:rsidRPr="0041486A">
        <w:rPr>
          <w:rFonts w:ascii="Bookman Old Style" w:hAnsi="Bookman Old Style"/>
          <w:b/>
          <w:bCs/>
          <w:color w:val="000000" w:themeColor="text1"/>
          <w:sz w:val="20"/>
          <w:szCs w:val="20"/>
          <w:lang w:val="en-US"/>
        </w:rPr>
        <w:t xml:space="preserve">Keywords: </w:t>
      </w:r>
      <w:r w:rsidR="00A8483D" w:rsidRPr="0041486A">
        <w:rPr>
          <w:rFonts w:ascii="Bookman Old Style" w:hAnsi="Bookman Old Style"/>
          <w:b/>
          <w:bCs/>
          <w:i/>
          <w:iCs/>
          <w:color w:val="000000" w:themeColor="text1"/>
          <w:sz w:val="20"/>
          <w:szCs w:val="20"/>
          <w:lang w:val="en-US"/>
        </w:rPr>
        <w:t>Accountability</w:t>
      </w:r>
      <w:r w:rsidR="00A87F92" w:rsidRPr="0041486A">
        <w:rPr>
          <w:rFonts w:ascii="Bookman Old Style" w:hAnsi="Bookman Old Style"/>
          <w:b/>
          <w:bCs/>
          <w:i/>
          <w:iCs/>
          <w:color w:val="000000" w:themeColor="text1"/>
          <w:sz w:val="20"/>
          <w:szCs w:val="20"/>
          <w:lang w:val="en-US"/>
        </w:rPr>
        <w:t>,</w:t>
      </w:r>
      <w:r w:rsidR="00965B30" w:rsidRPr="0041486A">
        <w:rPr>
          <w:rFonts w:ascii="Bookman Old Style" w:hAnsi="Bookman Old Style"/>
          <w:b/>
          <w:bCs/>
          <w:i/>
          <w:iCs/>
          <w:color w:val="000000" w:themeColor="text1"/>
          <w:sz w:val="20"/>
          <w:szCs w:val="20"/>
          <w:lang w:val="en-US"/>
        </w:rPr>
        <w:t xml:space="preserve"> </w:t>
      </w:r>
      <w:r w:rsidR="00A8483D" w:rsidRPr="0041486A">
        <w:rPr>
          <w:rFonts w:ascii="Bookman Old Style" w:hAnsi="Bookman Old Style"/>
          <w:b/>
          <w:bCs/>
          <w:i/>
          <w:iCs/>
          <w:color w:val="000000" w:themeColor="text1"/>
          <w:sz w:val="20"/>
          <w:szCs w:val="20"/>
          <w:lang w:val="en-US"/>
        </w:rPr>
        <w:t>Management, PSAK 112, Waqf.</w:t>
      </w:r>
    </w:p>
    <w:p w14:paraId="0AD54C44" w14:textId="77777777" w:rsidR="00FB183B" w:rsidRPr="0041486A" w:rsidRDefault="00FB183B" w:rsidP="00FB183B">
      <w:pPr>
        <w:spacing w:after="0" w:line="240" w:lineRule="auto"/>
        <w:jc w:val="both"/>
        <w:rPr>
          <w:rFonts w:ascii="Bookman Old Style" w:hAnsi="Bookman Old Style" w:cs="Arial"/>
          <w:b/>
          <w:bCs/>
          <w:i/>
          <w:color w:val="000000" w:themeColor="text1"/>
          <w:sz w:val="20"/>
          <w:szCs w:val="20"/>
          <w:lang w:val="en-US"/>
        </w:rPr>
      </w:pPr>
    </w:p>
    <w:p w14:paraId="4E1B4C82" w14:textId="1F982464" w:rsidR="00FB183B" w:rsidRPr="0041486A" w:rsidRDefault="006E5860" w:rsidP="00FB183B">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Arial"/>
          <w:b/>
          <w:bCs/>
          <w:iCs/>
          <w:color w:val="000000" w:themeColor="text1"/>
          <w:sz w:val="20"/>
          <w:szCs w:val="20"/>
          <w:lang w:val="en-US"/>
        </w:rPr>
        <w:t xml:space="preserve">Abstrak, </w:t>
      </w:r>
      <w:r w:rsidR="00FB183B" w:rsidRPr="0041486A">
        <w:rPr>
          <w:rFonts w:ascii="Bookman Old Style" w:hAnsi="Bookman Old Style" w:cstheme="majorBidi"/>
          <w:bCs/>
          <w:color w:val="000000" w:themeColor="text1"/>
          <w:sz w:val="20"/>
          <w:szCs w:val="20"/>
        </w:rPr>
        <w:t xml:space="preserve">Tujuan penelitian ini adalah untuk mengetahui bagaimana metode pengelolaan wakaf serta kesesuaian perlakuan akuntansi wakaf di Kementerian Agama Polewali Mandar dengan PSAK 112. Selain itu, penelitian ini juga ingin melihat bagaimana akuntabilitas pengelolaan wakaf di Kementerian Agama Kabupaten Polewali Mandar dalam perspektif </w:t>
      </w:r>
      <w:r w:rsidR="00FB183B" w:rsidRPr="0041486A">
        <w:rPr>
          <w:rFonts w:ascii="Bookman Old Style" w:hAnsi="Bookman Old Style" w:cstheme="majorBidi"/>
          <w:bCs/>
          <w:i/>
          <w:color w:val="000000" w:themeColor="text1"/>
          <w:sz w:val="20"/>
          <w:szCs w:val="20"/>
        </w:rPr>
        <w:t>sharia enterprise theory</w:t>
      </w:r>
      <w:r w:rsidR="00FB183B" w:rsidRPr="0041486A">
        <w:rPr>
          <w:rFonts w:ascii="Bookman Old Style" w:hAnsi="Bookman Old Style" w:cstheme="majorBidi"/>
          <w:bCs/>
          <w:color w:val="000000" w:themeColor="text1"/>
          <w:sz w:val="20"/>
          <w:szCs w:val="20"/>
        </w:rPr>
        <w:t>.</w:t>
      </w:r>
      <w:r w:rsidR="00FB183B" w:rsidRPr="0041486A">
        <w:rPr>
          <w:rFonts w:ascii="Bookman Old Style" w:hAnsi="Bookman Old Style" w:cstheme="majorBidi"/>
          <w:bCs/>
          <w:color w:val="000000" w:themeColor="text1"/>
          <w:sz w:val="20"/>
          <w:szCs w:val="20"/>
          <w:lang w:val="en-US"/>
        </w:rPr>
        <w:t xml:space="preserve"> </w:t>
      </w:r>
      <w:r w:rsidR="00FB183B" w:rsidRPr="0041486A">
        <w:rPr>
          <w:rFonts w:ascii="Bookman Old Style" w:hAnsi="Bookman Old Style" w:cstheme="majorBidi"/>
          <w:bCs/>
          <w:color w:val="000000" w:themeColor="text1"/>
          <w:sz w:val="20"/>
          <w:szCs w:val="20"/>
        </w:rPr>
        <w:t>Penelitian ini merupakan jenis penelitian kualitatif dengan pendekatan studi fenomenologi yang dilakukan dengan teknik wawancara mendalam terhadap narasumber yang telah ditentukan sebelumnya. Data wawancara yang telah dikumpulkan direduksi lalu dianalisis untuk membuat suatu kesimpulan akhir. Demi menjaga kualitas hasil penelitian dilakukan uji keabsahan data dengan menggunakan triangulasi sumber data.</w:t>
      </w:r>
      <w:r w:rsidR="00FB183B" w:rsidRPr="0041486A">
        <w:rPr>
          <w:rFonts w:ascii="Bookman Old Style" w:hAnsi="Bookman Old Style" w:cstheme="majorBidi"/>
          <w:bCs/>
          <w:color w:val="000000" w:themeColor="text1"/>
          <w:sz w:val="20"/>
          <w:szCs w:val="20"/>
          <w:lang w:val="en-US"/>
        </w:rPr>
        <w:t xml:space="preserve"> </w:t>
      </w:r>
      <w:r w:rsidR="00FB183B" w:rsidRPr="0041486A">
        <w:rPr>
          <w:rFonts w:ascii="Bookman Old Style" w:hAnsi="Bookman Old Style" w:cstheme="majorBidi"/>
          <w:bCs/>
          <w:color w:val="000000" w:themeColor="text1"/>
          <w:sz w:val="20"/>
          <w:szCs w:val="20"/>
        </w:rPr>
        <w:t xml:space="preserve">Hasil penelitian mengungkapkan bahwa </w:t>
      </w:r>
      <w:r w:rsidR="00FB183B" w:rsidRPr="0041486A">
        <w:rPr>
          <w:rFonts w:ascii="Bookman Old Style" w:hAnsi="Bookman Old Style" w:cstheme="majorBidi"/>
          <w:color w:val="000000" w:themeColor="text1"/>
          <w:sz w:val="20"/>
          <w:szCs w:val="20"/>
        </w:rPr>
        <w:t>Perlakuan akuntansi wakaf di Kementerian Agama Kabupaten Polewali Mandar masih dilakukan secara sederhana dan merujuk kepada aturan yang diterbikan dari Kementerian Agama pusat.</w:t>
      </w:r>
      <w:r w:rsidR="00FB183B" w:rsidRPr="0041486A">
        <w:rPr>
          <w:rFonts w:ascii="Bookman Old Style" w:hAnsi="Bookman Old Style" w:cstheme="majorBidi"/>
          <w:bCs/>
          <w:color w:val="000000" w:themeColor="text1"/>
          <w:sz w:val="20"/>
          <w:szCs w:val="20"/>
        </w:rPr>
        <w:t xml:space="preserve"> </w:t>
      </w:r>
      <w:r w:rsidR="00FB183B" w:rsidRPr="0041486A">
        <w:rPr>
          <w:rFonts w:ascii="Bookman Old Style" w:hAnsi="Bookman Old Style" w:cstheme="majorBidi"/>
          <w:color w:val="000000" w:themeColor="text1"/>
          <w:sz w:val="20"/>
          <w:szCs w:val="20"/>
        </w:rPr>
        <w:t>Perlakuan akuntansi wakaf di Kementerian Agama Kabupaten Polewali Mandar secara spesifik belum sesuai dengan PSAK 112 yang disebabkan oleh belum adanya penyesuaian dalam hal standarisasi perlakuan akuntansi yang dilakukan.</w:t>
      </w:r>
      <w:r w:rsidR="00FB183B" w:rsidRPr="0041486A">
        <w:rPr>
          <w:rFonts w:ascii="Bookman Old Style" w:hAnsi="Bookman Old Style" w:cstheme="majorBidi"/>
          <w:bCs/>
          <w:color w:val="000000" w:themeColor="text1"/>
          <w:sz w:val="20"/>
          <w:szCs w:val="20"/>
        </w:rPr>
        <w:t xml:space="preserve"> Selanjutnya, </w:t>
      </w:r>
      <w:r w:rsidR="00FB183B" w:rsidRPr="0041486A">
        <w:rPr>
          <w:rFonts w:ascii="Bookman Old Style" w:hAnsi="Bookman Old Style" w:cstheme="majorBidi"/>
          <w:color w:val="000000" w:themeColor="text1"/>
          <w:sz w:val="20"/>
          <w:szCs w:val="20"/>
        </w:rPr>
        <w:t xml:space="preserve">dalam perspektif </w:t>
      </w:r>
      <w:r w:rsidR="00FB183B" w:rsidRPr="0041486A">
        <w:rPr>
          <w:rFonts w:ascii="Bookman Old Style" w:hAnsi="Bookman Old Style" w:cstheme="majorBidi"/>
          <w:i/>
          <w:color w:val="000000" w:themeColor="text1"/>
          <w:sz w:val="20"/>
          <w:szCs w:val="20"/>
        </w:rPr>
        <w:t>sharia enterprise theory</w:t>
      </w:r>
      <w:r w:rsidR="00FB183B" w:rsidRPr="0041486A">
        <w:rPr>
          <w:rFonts w:ascii="Bookman Old Style" w:hAnsi="Bookman Old Style" w:cstheme="majorBidi"/>
          <w:color w:val="000000" w:themeColor="text1"/>
          <w:sz w:val="20"/>
          <w:szCs w:val="20"/>
        </w:rPr>
        <w:t>, pengelolaan wakaf yang dilakukan oleh Kementerian Agama Kabupaten Polewali Mandar telah memenuhi aspek akuntabilitas dan transparansi yang dibuktikan keterbukaan informasi dan model pertanggungjawaban yang dipaparkan dengan sangat lugas.</w:t>
      </w:r>
    </w:p>
    <w:p w14:paraId="3F2176CB" w14:textId="05405224" w:rsidR="006E5860" w:rsidRPr="0041486A" w:rsidRDefault="006E5860" w:rsidP="00B23860">
      <w:pPr>
        <w:spacing w:after="0" w:line="240" w:lineRule="auto"/>
        <w:jc w:val="both"/>
        <w:rPr>
          <w:rFonts w:ascii="Bookman Old Style" w:hAnsi="Bookman Old Style" w:cs="Arial"/>
          <w:b/>
          <w:bCs/>
          <w:iCs/>
          <w:color w:val="000000" w:themeColor="text1"/>
          <w:sz w:val="20"/>
          <w:szCs w:val="20"/>
          <w:lang w:val="en-US"/>
        </w:rPr>
      </w:pPr>
    </w:p>
    <w:p w14:paraId="4CB3A2E0" w14:textId="7995DCE4" w:rsidR="006E5860" w:rsidRPr="0041486A" w:rsidRDefault="006E5860" w:rsidP="00B23860">
      <w:pPr>
        <w:spacing w:after="0" w:line="240" w:lineRule="auto"/>
        <w:jc w:val="both"/>
        <w:rPr>
          <w:rFonts w:ascii="Bookman Old Style" w:hAnsi="Bookman Old Style"/>
          <w:b/>
          <w:bCs/>
          <w:color w:val="000000" w:themeColor="text1"/>
          <w:sz w:val="20"/>
          <w:szCs w:val="20"/>
          <w:lang w:val="en-US"/>
        </w:rPr>
      </w:pPr>
      <w:r w:rsidRPr="0041486A">
        <w:rPr>
          <w:rFonts w:ascii="Bookman Old Style" w:hAnsi="Bookman Old Style"/>
          <w:b/>
          <w:bCs/>
          <w:color w:val="000000" w:themeColor="text1"/>
          <w:sz w:val="20"/>
          <w:szCs w:val="20"/>
          <w:lang w:val="en-US"/>
        </w:rPr>
        <w:t xml:space="preserve">Keywords: </w:t>
      </w:r>
      <w:r w:rsidR="00E76D68" w:rsidRPr="0041486A">
        <w:rPr>
          <w:rFonts w:ascii="Bookman Old Style" w:hAnsi="Bookman Old Style"/>
          <w:b/>
          <w:bCs/>
          <w:color w:val="000000" w:themeColor="text1"/>
          <w:sz w:val="20"/>
          <w:szCs w:val="20"/>
          <w:lang w:val="en-US"/>
        </w:rPr>
        <w:t>Akuntabilitas</w:t>
      </w:r>
      <w:r w:rsidR="00965B30" w:rsidRPr="0041486A">
        <w:rPr>
          <w:rFonts w:ascii="Bookman Old Style" w:hAnsi="Bookman Old Style"/>
          <w:b/>
          <w:bCs/>
          <w:i/>
          <w:iCs/>
          <w:color w:val="000000" w:themeColor="text1"/>
          <w:sz w:val="20"/>
          <w:szCs w:val="20"/>
          <w:lang w:val="en-US"/>
        </w:rPr>
        <w:t xml:space="preserve">, </w:t>
      </w:r>
      <w:r w:rsidR="00E76D68" w:rsidRPr="0041486A">
        <w:rPr>
          <w:rFonts w:ascii="Bookman Old Style" w:hAnsi="Bookman Old Style"/>
          <w:b/>
          <w:bCs/>
          <w:iCs/>
          <w:color w:val="000000" w:themeColor="text1"/>
          <w:sz w:val="20"/>
          <w:szCs w:val="20"/>
          <w:lang w:val="en-US"/>
        </w:rPr>
        <w:t>Pengelolaan, PSAK 112, Wakaf</w:t>
      </w:r>
      <w:r w:rsidR="00A5597C" w:rsidRPr="0041486A">
        <w:rPr>
          <w:rFonts w:ascii="Bookman Old Style" w:hAnsi="Bookman Old Style"/>
          <w:b/>
          <w:bCs/>
          <w:iCs/>
          <w:color w:val="000000" w:themeColor="text1"/>
          <w:sz w:val="20"/>
          <w:szCs w:val="20"/>
          <w:lang w:val="en-US"/>
        </w:rPr>
        <w:t>.</w:t>
      </w:r>
    </w:p>
    <w:p w14:paraId="163BB05F" w14:textId="2540D4D7" w:rsidR="00F2174E" w:rsidRPr="0041486A" w:rsidRDefault="00F2174E" w:rsidP="00B23860">
      <w:pPr>
        <w:spacing w:after="0" w:line="240" w:lineRule="auto"/>
        <w:jc w:val="both"/>
        <w:rPr>
          <w:rFonts w:ascii="Bookman Old Style" w:hAnsi="Bookman Old Style" w:cs="Calibri"/>
          <w:color w:val="000000" w:themeColor="text1"/>
          <w:sz w:val="20"/>
          <w:szCs w:val="20"/>
          <w:shd w:val="clear" w:color="auto" w:fill="FFFFFF"/>
          <w:vertAlign w:val="superscript"/>
          <w:lang w:val="en-US"/>
        </w:rPr>
      </w:pPr>
      <w:r w:rsidRPr="0041486A">
        <w:rPr>
          <w:rFonts w:ascii="Bookman Old Style" w:hAnsi="Bookman Old Style" w:cs="Calibri"/>
          <w:color w:val="000000" w:themeColor="text1"/>
          <w:sz w:val="20"/>
          <w:szCs w:val="20"/>
          <w:lang w:val="en-US"/>
        </w:rPr>
        <mc:AlternateContent>
          <mc:Choice Requires="wps">
            <w:drawing>
              <wp:anchor distT="0" distB="0" distL="114300" distR="114300" simplePos="0" relativeHeight="251664384" behindDoc="0" locked="0" layoutInCell="1" allowOverlap="1" wp14:anchorId="4331F0C8" wp14:editId="4819A994">
                <wp:simplePos x="946150" y="5416550"/>
                <wp:positionH relativeFrom="margin">
                  <wp:align>center</wp:align>
                </wp:positionH>
                <wp:positionV relativeFrom="margin">
                  <wp:align>bottom</wp:align>
                </wp:positionV>
                <wp:extent cx="5829935" cy="6731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829935" cy="673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E9EE01" w14:textId="77777777" w:rsidR="00E5131F" w:rsidRPr="00B3000F" w:rsidRDefault="00E5131F" w:rsidP="00F2174E">
                            <w:pPr>
                              <w:pStyle w:val="FootnoteText"/>
                              <w:spacing w:after="0" w:line="240" w:lineRule="auto"/>
                              <w:ind w:left="180" w:hanging="180"/>
                              <w:contextualSpacing/>
                              <w:rPr>
                                <w:rFonts w:ascii="Bookman Old Style" w:hAnsi="Bookman Old Style" w:cs="Calibri"/>
                                <w:b/>
                                <w:bCs/>
                                <w:sz w:val="16"/>
                                <w:szCs w:val="16"/>
                              </w:rPr>
                            </w:pPr>
                            <w:r w:rsidRPr="00AD5DAD">
                              <w:rPr>
                                <w:rFonts w:ascii="Bookman Old Style" w:hAnsi="Bookman Old Style" w:cs="Calibri"/>
                                <w:b/>
                                <w:bCs/>
                                <w:noProof/>
                                <w:sz w:val="16"/>
                                <w:szCs w:val="16"/>
                                <w:lang w:val="en-US"/>
                              </w:rPr>
                              <w:drawing>
                                <wp:inline distT="0" distB="0" distL="0" distR="0" wp14:anchorId="30004941" wp14:editId="095CFDE2">
                                  <wp:extent cx="13291595" cy="457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7365071" cy="162921"/>
                                          </a:xfrm>
                                          <a:prstGeom prst="rect">
                                            <a:avLst/>
                                          </a:prstGeom>
                                          <a:noFill/>
                                          <a:ln>
                                            <a:noFill/>
                                          </a:ln>
                                        </pic:spPr>
                                      </pic:pic>
                                    </a:graphicData>
                                  </a:graphic>
                                </wp:inline>
                              </w:drawing>
                            </w:r>
                            <w:r w:rsidRPr="00B3000F">
                              <w:rPr>
                                <w:rFonts w:ascii="Bookman Old Style" w:hAnsi="Bookman Old Style" w:cs="Calibri"/>
                                <w:b/>
                                <w:bCs/>
                                <w:sz w:val="16"/>
                                <w:szCs w:val="16"/>
                                <w:lang w:val="en-US"/>
                              </w:rPr>
                              <w:t>*</w:t>
                            </w:r>
                            <w:proofErr w:type="spellStart"/>
                            <w:r w:rsidRPr="00B3000F">
                              <w:rPr>
                                <w:rFonts w:ascii="Bookman Old Style" w:hAnsi="Bookman Old Style" w:cs="Calibri"/>
                                <w:b/>
                                <w:bCs/>
                                <w:sz w:val="16"/>
                                <w:szCs w:val="16"/>
                                <w:lang w:val="en-US"/>
                              </w:rPr>
                              <w:t>Koresponden</w:t>
                            </w:r>
                            <w:proofErr w:type="spellEnd"/>
                            <w:r w:rsidRPr="00B3000F">
                              <w:rPr>
                                <w:rFonts w:ascii="Bookman Old Style" w:hAnsi="Bookman Old Style" w:cs="Calibri"/>
                                <w:b/>
                                <w:bCs/>
                                <w:sz w:val="16"/>
                                <w:szCs w:val="16"/>
                              </w:rPr>
                              <w:t>:</w:t>
                            </w:r>
                          </w:p>
                          <w:p w14:paraId="4B5C4666" w14:textId="27AF26EB" w:rsidR="00E5131F" w:rsidRPr="00B3000F" w:rsidRDefault="0041486A" w:rsidP="00F2174E">
                            <w:pPr>
                              <w:pStyle w:val="FootnoteText"/>
                              <w:spacing w:after="0" w:line="240" w:lineRule="auto"/>
                              <w:ind w:left="180"/>
                              <w:contextualSpacing/>
                              <w:rPr>
                                <w:rFonts w:ascii="Bookman Old Style" w:hAnsi="Bookman Old Style" w:cs="Calibri"/>
                                <w:sz w:val="16"/>
                                <w:szCs w:val="16"/>
                                <w:lang w:val="en-US"/>
                              </w:rPr>
                            </w:pPr>
                            <w:r>
                              <w:rPr>
                                <w:rFonts w:ascii="Bookman Old Style" w:hAnsi="Bookman Old Style" w:cs="Calibri"/>
                                <w:sz w:val="16"/>
                                <w:szCs w:val="16"/>
                                <w:lang w:val="en-US"/>
                              </w:rPr>
                              <w:t>srihardiantimarsawal</w:t>
                            </w:r>
                            <w:r w:rsidR="00E5131F" w:rsidRPr="00B3000F">
                              <w:rPr>
                                <w:rFonts w:ascii="Bookman Old Style" w:hAnsi="Bookman Old Style" w:cs="Calibri"/>
                                <w:sz w:val="16"/>
                                <w:szCs w:val="16"/>
                                <w:lang w:val="en-US"/>
                              </w:rPr>
                              <w:t>@</w:t>
                            </w:r>
                            <w:r>
                              <w:rPr>
                                <w:rFonts w:ascii="Bookman Old Style" w:hAnsi="Bookman Old Style" w:cs="Calibri"/>
                                <w:sz w:val="16"/>
                                <w:szCs w:val="16"/>
                                <w:lang w:val="en-US"/>
                              </w:rPr>
                              <w:t>gmail.com</w:t>
                            </w:r>
                          </w:p>
                          <w:p w14:paraId="2E058D13" w14:textId="77777777" w:rsidR="00E5131F" w:rsidRPr="00B3000F" w:rsidRDefault="00E5131F" w:rsidP="00F2174E">
                            <w:pPr>
                              <w:spacing w:after="0" w:line="240" w:lineRule="auto"/>
                              <w:ind w:left="180"/>
                              <w:rPr>
                                <w:rFonts w:ascii="Bookman Old Style" w:hAnsi="Bookman Old Style" w:cs="Calibri"/>
                                <w:sz w:val="16"/>
                                <w:szCs w:val="16"/>
                                <w:lang w:val="en-US"/>
                              </w:rPr>
                            </w:pPr>
                            <w:r w:rsidRPr="00B3000F">
                              <w:rPr>
                                <w:rFonts w:ascii="Bookman Old Style" w:hAnsi="Bookman Old Style" w:cs="Calibri"/>
                                <w:b/>
                                <w:bCs/>
                                <w:sz w:val="16"/>
                                <w:szCs w:val="16"/>
                              </w:rPr>
                              <w:t>DOI:</w:t>
                            </w:r>
                            <w:r w:rsidRPr="00B3000F">
                              <w:rPr>
                                <w:rFonts w:ascii="Bookman Old Style" w:hAnsi="Bookman Old Style" w:cs="Calibri"/>
                                <w:sz w:val="16"/>
                                <w:szCs w:val="16"/>
                              </w:rPr>
                              <w:t xml:space="preserve"> </w:t>
                            </w:r>
                            <w:r w:rsidRPr="00B3000F">
                              <w:rPr>
                                <w:rFonts w:ascii="Bookman Old Style" w:hAnsi="Bookman Old Style" w:cs="Calibri"/>
                                <w:sz w:val="16"/>
                                <w:szCs w:val="16"/>
                                <w:lang w:val="en-US"/>
                              </w:rPr>
                              <w:t>(diisi oleh editor)</w:t>
                            </w:r>
                          </w:p>
                          <w:p w14:paraId="2601D976" w14:textId="77777777" w:rsidR="00E5131F" w:rsidRPr="00B3000F" w:rsidRDefault="00E5131F" w:rsidP="00F2174E">
                            <w:pPr>
                              <w:spacing w:after="0" w:line="240" w:lineRule="auto"/>
                              <w:ind w:left="180"/>
                              <w:rPr>
                                <w:rFonts w:ascii="Bookman Old Style" w:hAnsi="Bookman Old Style"/>
                                <w:sz w:val="16"/>
                                <w:szCs w:val="16"/>
                              </w:rPr>
                            </w:pPr>
                            <w:r w:rsidRPr="00B3000F">
                              <w:rPr>
                                <w:rFonts w:ascii="Bookman Old Style" w:hAnsi="Bookman Old Style"/>
                                <w:b/>
                                <w:bCs/>
                                <w:sz w:val="16"/>
                                <w:szCs w:val="16"/>
                              </w:rPr>
                              <w:t>Artikel Ini Tersedia Pada:</w:t>
                            </w:r>
                            <w:r w:rsidRPr="00B3000F">
                              <w:rPr>
                                <w:rFonts w:ascii="Bookman Old Style" w:hAnsi="Bookman Old Style"/>
                                <w:sz w:val="16"/>
                                <w:szCs w:val="16"/>
                              </w:rPr>
                              <w:t xml:space="preserve"> (diisi oleh editor)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margin-top:0;width:459.05pt;height:53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" filled="f" stroked="f">
                <v:textbox>
                  <w:txbxContent>
                    <w:p w14:paraId="0AE9EE01" w14:textId="77777777" w:rsidR="00E5131F" w:rsidRPr="00B3000F" w:rsidRDefault="00E5131F" w:rsidP="00F2174E">
                      <w:pPr>
                        <w:pStyle w:val="FootnoteText"/>
                        <w:spacing w:after="0" w:line="240" w:lineRule="auto"/>
                        <w:ind w:left="180" w:hanging="180"/>
                        <w:contextualSpacing/>
                        <w:rPr>
                          <w:rFonts w:ascii="Bookman Old Style" w:hAnsi="Bookman Old Style" w:cs="Calibri"/>
                          <w:b/>
                          <w:bCs/>
                          <w:sz w:val="16"/>
                          <w:szCs w:val="16"/>
                        </w:rPr>
                      </w:pPr>
                      <w:r w:rsidRPr="00AD5DAD">
                        <w:rPr>
                          <w:rFonts w:ascii="Bookman Old Style" w:hAnsi="Bookman Old Style" w:cs="Calibri"/>
                          <w:b/>
                          <w:bCs/>
                          <w:noProof/>
                          <w:sz w:val="16"/>
                          <w:szCs w:val="16"/>
                          <w:lang w:val="en-US"/>
                        </w:rPr>
                        <w:drawing>
                          <wp:inline distT="0" distB="0" distL="0" distR="0" wp14:anchorId="30004941" wp14:editId="095CFDE2">
                            <wp:extent cx="13291595" cy="457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7365071" cy="162921"/>
                                    </a:xfrm>
                                    <a:prstGeom prst="rect">
                                      <a:avLst/>
                                    </a:prstGeom>
                                    <a:noFill/>
                                    <a:ln>
                                      <a:noFill/>
                                    </a:ln>
                                  </pic:spPr>
                                </pic:pic>
                              </a:graphicData>
                            </a:graphic>
                          </wp:inline>
                        </w:drawing>
                      </w:r>
                      <w:r w:rsidRPr="00B3000F">
                        <w:rPr>
                          <w:rFonts w:ascii="Bookman Old Style" w:hAnsi="Bookman Old Style" w:cs="Calibri"/>
                          <w:b/>
                          <w:bCs/>
                          <w:sz w:val="16"/>
                          <w:szCs w:val="16"/>
                          <w:lang w:val="en-US"/>
                        </w:rPr>
                        <w:t>*</w:t>
                      </w:r>
                      <w:proofErr w:type="spellStart"/>
                      <w:r w:rsidRPr="00B3000F">
                        <w:rPr>
                          <w:rFonts w:ascii="Bookman Old Style" w:hAnsi="Bookman Old Style" w:cs="Calibri"/>
                          <w:b/>
                          <w:bCs/>
                          <w:sz w:val="16"/>
                          <w:szCs w:val="16"/>
                          <w:lang w:val="en-US"/>
                        </w:rPr>
                        <w:t>Koresponden</w:t>
                      </w:r>
                      <w:proofErr w:type="spellEnd"/>
                      <w:r w:rsidRPr="00B3000F">
                        <w:rPr>
                          <w:rFonts w:ascii="Bookman Old Style" w:hAnsi="Bookman Old Style" w:cs="Calibri"/>
                          <w:b/>
                          <w:bCs/>
                          <w:sz w:val="16"/>
                          <w:szCs w:val="16"/>
                        </w:rPr>
                        <w:t>:</w:t>
                      </w:r>
                    </w:p>
                    <w:p w14:paraId="4B5C4666" w14:textId="27AF26EB" w:rsidR="00E5131F" w:rsidRPr="00B3000F" w:rsidRDefault="0041486A" w:rsidP="00F2174E">
                      <w:pPr>
                        <w:pStyle w:val="FootnoteText"/>
                        <w:spacing w:after="0" w:line="240" w:lineRule="auto"/>
                        <w:ind w:left="180"/>
                        <w:contextualSpacing/>
                        <w:rPr>
                          <w:rFonts w:ascii="Bookman Old Style" w:hAnsi="Bookman Old Style" w:cs="Calibri"/>
                          <w:sz w:val="16"/>
                          <w:szCs w:val="16"/>
                          <w:lang w:val="en-US"/>
                        </w:rPr>
                      </w:pPr>
                      <w:r>
                        <w:rPr>
                          <w:rFonts w:ascii="Bookman Old Style" w:hAnsi="Bookman Old Style" w:cs="Calibri"/>
                          <w:sz w:val="16"/>
                          <w:szCs w:val="16"/>
                          <w:lang w:val="en-US"/>
                        </w:rPr>
                        <w:t>srihardiantimarsawal</w:t>
                      </w:r>
                      <w:r w:rsidR="00E5131F" w:rsidRPr="00B3000F">
                        <w:rPr>
                          <w:rFonts w:ascii="Bookman Old Style" w:hAnsi="Bookman Old Style" w:cs="Calibri"/>
                          <w:sz w:val="16"/>
                          <w:szCs w:val="16"/>
                          <w:lang w:val="en-US"/>
                        </w:rPr>
                        <w:t>@</w:t>
                      </w:r>
                      <w:r>
                        <w:rPr>
                          <w:rFonts w:ascii="Bookman Old Style" w:hAnsi="Bookman Old Style" w:cs="Calibri"/>
                          <w:sz w:val="16"/>
                          <w:szCs w:val="16"/>
                          <w:lang w:val="en-US"/>
                        </w:rPr>
                        <w:t>gmail.com</w:t>
                      </w:r>
                    </w:p>
                    <w:p w14:paraId="2E058D13" w14:textId="77777777" w:rsidR="00E5131F" w:rsidRPr="00B3000F" w:rsidRDefault="00E5131F" w:rsidP="00F2174E">
                      <w:pPr>
                        <w:spacing w:after="0" w:line="240" w:lineRule="auto"/>
                        <w:ind w:left="180"/>
                        <w:rPr>
                          <w:rFonts w:ascii="Bookman Old Style" w:hAnsi="Bookman Old Style" w:cs="Calibri"/>
                          <w:sz w:val="16"/>
                          <w:szCs w:val="16"/>
                          <w:lang w:val="en-US"/>
                        </w:rPr>
                      </w:pPr>
                      <w:r w:rsidRPr="00B3000F">
                        <w:rPr>
                          <w:rFonts w:ascii="Bookman Old Style" w:hAnsi="Bookman Old Style" w:cs="Calibri"/>
                          <w:b/>
                          <w:bCs/>
                          <w:sz w:val="16"/>
                          <w:szCs w:val="16"/>
                        </w:rPr>
                        <w:t>DOI:</w:t>
                      </w:r>
                      <w:r w:rsidRPr="00B3000F">
                        <w:rPr>
                          <w:rFonts w:ascii="Bookman Old Style" w:hAnsi="Bookman Old Style" w:cs="Calibri"/>
                          <w:sz w:val="16"/>
                          <w:szCs w:val="16"/>
                        </w:rPr>
                        <w:t xml:space="preserve"> </w:t>
                      </w:r>
                      <w:r w:rsidRPr="00B3000F">
                        <w:rPr>
                          <w:rFonts w:ascii="Bookman Old Style" w:hAnsi="Bookman Old Style" w:cs="Calibri"/>
                          <w:sz w:val="16"/>
                          <w:szCs w:val="16"/>
                          <w:lang w:val="en-US"/>
                        </w:rPr>
                        <w:t>(diisi oleh editor)</w:t>
                      </w:r>
                    </w:p>
                    <w:p w14:paraId="2601D976" w14:textId="77777777" w:rsidR="00E5131F" w:rsidRPr="00B3000F" w:rsidRDefault="00E5131F" w:rsidP="00F2174E">
                      <w:pPr>
                        <w:spacing w:after="0" w:line="240" w:lineRule="auto"/>
                        <w:ind w:left="180"/>
                        <w:rPr>
                          <w:rFonts w:ascii="Bookman Old Style" w:hAnsi="Bookman Old Style"/>
                          <w:sz w:val="16"/>
                          <w:szCs w:val="16"/>
                        </w:rPr>
                      </w:pPr>
                      <w:r w:rsidRPr="00B3000F">
                        <w:rPr>
                          <w:rFonts w:ascii="Bookman Old Style" w:hAnsi="Bookman Old Style"/>
                          <w:b/>
                          <w:bCs/>
                          <w:sz w:val="16"/>
                          <w:szCs w:val="16"/>
                        </w:rPr>
                        <w:t>Artikel Ini Tersedia Pada:</w:t>
                      </w:r>
                      <w:r w:rsidRPr="00B3000F">
                        <w:rPr>
                          <w:rFonts w:ascii="Bookman Old Style" w:hAnsi="Bookman Old Style"/>
                          <w:sz w:val="16"/>
                          <w:szCs w:val="16"/>
                        </w:rPr>
                        <w:t xml:space="preserve"> (diisi oleh editor)</w:t>
                      </w:r>
                    </w:p>
                  </w:txbxContent>
                </v:textbox>
                <w10:wrap type="square" anchorx="margin" anchory="margin"/>
              </v:rect>
            </w:pict>
          </mc:Fallback>
        </mc:AlternateContent>
      </w:r>
    </w:p>
    <w:p w14:paraId="0999CCD1" w14:textId="77777777" w:rsidR="003307DB" w:rsidRPr="0041486A" w:rsidRDefault="003307DB" w:rsidP="00B23860">
      <w:pPr>
        <w:spacing w:after="0" w:line="240" w:lineRule="auto"/>
        <w:rPr>
          <w:rFonts w:ascii="Bookman Old Style" w:eastAsia="Garamond" w:hAnsi="Bookman Old Style" w:cs="Garamond"/>
          <w:b/>
          <w:color w:val="000000" w:themeColor="text1"/>
          <w:sz w:val="20"/>
          <w:szCs w:val="20"/>
        </w:rPr>
      </w:pPr>
    </w:p>
    <w:p w14:paraId="178E58F9" w14:textId="70AF2134" w:rsidR="00E15747" w:rsidRPr="0041486A" w:rsidRDefault="00E15747" w:rsidP="00B23860">
      <w:pPr>
        <w:spacing w:after="0" w:line="240" w:lineRule="auto"/>
        <w:rPr>
          <w:rFonts w:ascii="Bookman Old Style" w:eastAsia="Garamond" w:hAnsi="Bookman Old Style" w:cs="Garamond"/>
          <w:b/>
          <w:color w:val="000000" w:themeColor="text1"/>
          <w:sz w:val="20"/>
          <w:szCs w:val="20"/>
        </w:rPr>
      </w:pPr>
      <w:r w:rsidRPr="0041486A">
        <w:rPr>
          <w:rFonts w:ascii="Bookman Old Style" w:eastAsia="Garamond" w:hAnsi="Bookman Old Style" w:cs="Garamond"/>
          <w:b/>
          <w:color w:val="000000" w:themeColor="text1"/>
          <w:sz w:val="20"/>
          <w:szCs w:val="20"/>
        </w:rPr>
        <w:t xml:space="preserve">Pendahuluan </w:t>
      </w:r>
    </w:p>
    <w:p w14:paraId="4060574B" w14:textId="4E3628DF" w:rsidR="002E48F5" w:rsidRPr="0041486A" w:rsidRDefault="009C5F73"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Indonesia merupakan negara dengan Mayoritas penduduk Muslim, hal ini yang menjadi peluang bagi lembaga sosial dan keuangan untuk mengelola produk syariah. Islam </w:t>
      </w:r>
      <w:r w:rsidR="002E48F5" w:rsidRPr="0041486A">
        <w:rPr>
          <w:rFonts w:ascii="Bookman Old Style" w:eastAsia="Garamond" w:hAnsi="Bookman Old Style" w:cs="Garamond"/>
          <w:bCs/>
          <w:color w:val="000000" w:themeColor="text1"/>
          <w:sz w:val="20"/>
          <w:szCs w:val="20"/>
          <w:lang w:val="en-US"/>
        </w:rPr>
        <w:t>memiliki pandangan yang luas,</w:t>
      </w:r>
      <w:r w:rsidRPr="0041486A">
        <w:rPr>
          <w:rFonts w:ascii="Bookman Old Style" w:eastAsia="Garamond" w:hAnsi="Bookman Old Style" w:cs="Garamond"/>
          <w:bCs/>
          <w:color w:val="000000" w:themeColor="text1"/>
          <w:sz w:val="20"/>
          <w:szCs w:val="20"/>
          <w:lang w:val="en-US"/>
        </w:rPr>
        <w:t xml:space="preserve"> syariat Islam telah menawarkan beberapa </w:t>
      </w:r>
      <w:r w:rsidRPr="0041486A">
        <w:rPr>
          <w:rFonts w:ascii="Bookman Old Style" w:eastAsia="Garamond" w:hAnsi="Bookman Old Style" w:cs="Garamond"/>
          <w:bCs/>
          <w:color w:val="000000" w:themeColor="text1"/>
          <w:sz w:val="20"/>
          <w:szCs w:val="20"/>
          <w:lang w:val="en-US"/>
        </w:rPr>
        <w:lastRenderedPageBreak/>
        <w:t xml:space="preserve">instrumen alternatif dalam pemberdayaan sosial dan ekonomi seperti, zakat, infaq, sedekah, dan wakaf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{"citationItems":[{"id":"ITEM-1","itemData":{"author":[{"dropping-particle":"","family":"Hidayat","given":"Roni","non-dropping-particle":"","parse-names":false,"suffix":""}],"container-title":"Jurnal Ekonomi dan Perbankan Syariah","id":"ITEM-1","issued":{"date-parts":[["2018"]]},"page":"107-118","title":"Konsep Wakaf Yang Efektif Dalam Membangun Bangsa","type":"article-journal","volume":"7(2)"},"uris":["http://www.mendeley.com/documents/?uuid=8b452f4c-20f5-4d6a-ab67-c2ecb51e0db2"]}],"mendeley":{"formattedCitation":"(Hidayat, 2018)","plainTextFormattedCitation":"(Hidayat, 2018)","previouslyFormattedCitation":"(Hidayat, 2018)"},"properties":{"noteIndex":0},"schema":"https://github.com/citation-style-language/schema/raw/master/csl-citation.json"}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(Hidayat, 2018)</w:t>
      </w:r>
      <w:r w:rsidR="00C77BAA"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Menurut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{"citationItems":[{"id":"ITEM-1","itemData":{"abstract":"Penelitian ini berkaitan dengan potensi wakaf sebagai kekuatan bagi pengembangan kesejahteraan umat. Wakaf tidak lagi identik dengan tanah yang diperuntukan bagi lembaga pendidikan, makam, tempat ibadah atau lainnya, akan tetapi wakaf juga dapat dijadikan sebagai sumber kekuatan untuk mewujudkan kesejahteraan umat dan menggerakkan sektor-sektor pemberdayaan ekonomi yang potensial. Semakin besar dan beragamnya harta wakaf yang dapat dikelola oleh nadzir secara profesional dengan managemen yang tepat, maka manfaat yang didapatkan dari pengelolaan wakaf akan menjadi lebih luas peruntukannya sehingga pada gilirannya dapat memperkuat peran wakaf dalam meningkatkan perekonomian dan kesejahteraan umat.","author":[{"dropping-particle":"","family":"Hazami","given":"Bashlul","non-dropping-particle":"","parse-names":false,"suffix":""}],"container-title":"Analisis","id":"ITEM-1","issued":{"date-parts":[["2016"]]},"page":"173-204","title":"Peran dan Aplikasi Wakaf dalam Mewujudkan Kesejahteraan Umat di Indonesia","type":"article-journal","volume":"XVI(1)"},"uris":["http://www.mendeley.com/documents/?uuid=e58fe4c3-e65c-4bf7-9236-7bbd1614b9d8"]}],"mendeley":{"formattedCitation":"(Hazami, 2016)","manualFormatting":"Hazami (2016)","plainTextFormattedCitation":"(Hazami, 2016)","previouslyFormattedCitation":"(Hazami, 2016)"},"properties":{"noteIndex":0},"schema":"https://github.com/citation-style-language/schema/raw/master/csl-citation.json"}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Hazami (2016)</w:t>
      </w:r>
      <w:r w:rsidR="00C77BAA"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wakaf dan zakat</w:t>
      </w:r>
      <w:r w:rsidR="00CF2EC4" w:rsidRPr="0041486A">
        <w:rPr>
          <w:rFonts w:ascii="Bookman Old Style" w:eastAsia="Garamond" w:hAnsi="Bookman Old Style" w:cs="Garamond"/>
          <w:bCs/>
          <w:color w:val="000000" w:themeColor="text1"/>
          <w:sz w:val="20"/>
          <w:szCs w:val="20"/>
          <w:lang w:val="en-US"/>
        </w:rPr>
        <w:t xml:space="preserve"> merupakan instrumen ekonomi syariah yang perlu dikembangkan dalam membiayai kepentingan umat, terutama dalam pengembangan sosial dan ekonomi. Secara universal dan substansial, praktik wakaf telah diaplikasikan oleh umat sepanjang sejarah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DOI":"10.16526/j.cnki.11-4762/tp.2014.11.051","author":[{"dropping-particle":"","family":"Muhtar","given":"Amin","non-dropping-particle":"","parse-names":false,"suffix":""}],"container-title":"Asy-Syari'ah","id":"ITEM-1","issued":{"date-parts":[["2015"]]},"page":"9-18","title":"Potensi Wakaf menjadi Lembaga Keuangan Publik","type":"article-journal","volume":"17(1)"},"uris":["http://www.mendeley.com/documents/?uuid=3c3cd461-d905-4b96-881d-484d8211ea47"]}],"mendeley":{"formattedCitation":"(Muhtar, 2015)","plainTextFormattedCitation":"(Muhtar, 2015)","previouslyFormattedCitation":"(Muhtar, 2015)"},"properties":{"noteIndex":0},"schema":"https://github.com/citation-style-language/schema/raw/master/csl-citation.json"}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(Muhtar, 2015)</w:t>
      </w:r>
      <w:r w:rsidR="00C77BAA" w:rsidRPr="0041486A">
        <w:rPr>
          <w:rFonts w:ascii="Bookman Old Style" w:eastAsia="Garamond" w:hAnsi="Bookman Old Style" w:cs="Garamond"/>
          <w:bCs/>
          <w:color w:val="000000" w:themeColor="text1"/>
          <w:sz w:val="20"/>
          <w:szCs w:val="20"/>
          <w:lang w:val="en-US"/>
        </w:rPr>
        <w:fldChar w:fldCharType="end"/>
      </w:r>
      <w:r w:rsidR="00CF2EC4" w:rsidRPr="0041486A">
        <w:rPr>
          <w:rFonts w:ascii="Bookman Old Style" w:eastAsia="Garamond" w:hAnsi="Bookman Old Style" w:cs="Garamond"/>
          <w:bCs/>
          <w:color w:val="000000" w:themeColor="text1"/>
          <w:sz w:val="20"/>
          <w:szCs w:val="20"/>
          <w:lang w:val="en-US"/>
        </w:rPr>
        <w:t>. Wakaf adalah salah satu i</w:t>
      </w:r>
      <w:r w:rsidR="006D29AC" w:rsidRPr="0041486A">
        <w:rPr>
          <w:rFonts w:ascii="Bookman Old Style" w:eastAsia="Garamond" w:hAnsi="Bookman Old Style" w:cs="Garamond"/>
          <w:bCs/>
          <w:color w:val="000000" w:themeColor="text1"/>
          <w:sz w:val="20"/>
          <w:szCs w:val="20"/>
          <w:lang w:val="en-US"/>
        </w:rPr>
        <w:t>n</w:t>
      </w:r>
      <w:r w:rsidR="00CF2EC4" w:rsidRPr="0041486A">
        <w:rPr>
          <w:rFonts w:ascii="Bookman Old Style" w:eastAsia="Garamond" w:hAnsi="Bookman Old Style" w:cs="Garamond"/>
          <w:bCs/>
          <w:color w:val="000000" w:themeColor="text1"/>
          <w:sz w:val="20"/>
          <w:szCs w:val="20"/>
          <w:lang w:val="en-US"/>
        </w:rPr>
        <w:t xml:space="preserve">strumen </w:t>
      </w:r>
      <w:r w:rsidR="006D29AC" w:rsidRPr="0041486A">
        <w:rPr>
          <w:rFonts w:ascii="Bookman Old Style" w:eastAsia="Garamond" w:hAnsi="Bookman Old Style" w:cs="Garamond"/>
          <w:bCs/>
          <w:color w:val="000000" w:themeColor="text1"/>
          <w:sz w:val="20"/>
          <w:szCs w:val="20"/>
          <w:lang w:val="en-US"/>
        </w:rPr>
        <w:t xml:space="preserve">dalam Islam yang sangat potensial untuk dijadikan strategi dalam pemecahan masalah seperti pengentasan kemiskinan, menyediakan sarana ibadah, sosial, dan pemberdayaan ekonomi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{"citationItems":[{"id":"ITEM-1","itemData":{"DOI":"10.18860/j-fsh.v5i2.3007","ISSN":"2085-1618","abstract":"Mobilize sectors of the society economy with waqf instrument is very rasional. According data compiled by the Ministry of Religious Affairs, the number of waqf land in Indonesia reached 2,686,536,656, 68 square meters or 268,653.67 acres 366 595 locations spread across an area Indonesia. With a large area, it will contribute to socio-economic empowerment if it is managed with proper and professional management. This is the most urgent matter to be addressed in the management of waqf is nadzir professionalism, because they are the key to successful management of endowments to be more focused, productive and strategic. As one of the sharia instruments, the management of waqf should be rightfully optimized for development the welfare of society. Menggerakkan sektor ekonomi masyarakat dengan instrument wakaf adalah sangat rasional.Menurut data yang dihimpun Departemen Agama RI, jumlah tanah wakaf di Indonesia mencapai 2.686.536.656, 68 meter persegi atau 268.653,67 hektar yang tersebar di 366.595 lokasi di seluruh Indonesia. Dengan lahan seluas itu, tentunya akan sangat berkonstribusi dalam pemberdayaan social ekonomi jika dikelola dengan manajemen yang tepat dan profesional. Inilah hal yang paling urgen untuk dibenahi dalam pengelolaan wakaf adalah profesionalisme nadzir, karena mereka merupakan kunci keberhasilan pengelolaan wakaf agar lebih focus, produktif dan strategic. Sebagai salah satu instrument syariah, manajemen wakaf sudah seharusnya dioptimalkan pengelolaannya untuk peningkatan kesejahteraan masyarakat.","author":[{"dropping-particle":"","family":"Munir","given":"Zainal Arifin","non-dropping-particle":"","parse-names":false,"suffix":""}],"container-title":"Journal de Jure","id":"ITEM-1","issued":{"date-parts":[["2013"]]},"page":"162-171","title":"Revitalisasi Manajemen Wakaf Sebagai Penggerak Ekonomi Masyarakat","type":"article-journal","volume":"5(2)"},"uris":["http://www.mendeley.com/documents/?uuid=cb1dc0de-a941-4596-8b86-8a201d05338f"]}],"mendeley":{"formattedCitation":"(Z. A. Munir, 2013)","manualFormatting":"(Munir, 2013)","plainTextFormattedCitation":"(Z. A. Munir, 2013)","previouslyFormattedCitation":"(Z. A. Munir, 2013)"},"properties":{"noteIndex":0},"schema":"https://github.com/citation-style-language/schema/raw/master/csl-citation.json"}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(Munir, 2013)</w:t>
      </w:r>
      <w:r w:rsidR="00C77BAA" w:rsidRPr="0041486A">
        <w:rPr>
          <w:rFonts w:ascii="Bookman Old Style" w:eastAsia="Garamond" w:hAnsi="Bookman Old Style" w:cs="Garamond"/>
          <w:bCs/>
          <w:color w:val="000000" w:themeColor="text1"/>
          <w:sz w:val="20"/>
          <w:szCs w:val="20"/>
          <w:lang w:val="en-US"/>
        </w:rPr>
        <w:fldChar w:fldCharType="end"/>
      </w:r>
      <w:r w:rsidR="006D29AC" w:rsidRPr="0041486A">
        <w:rPr>
          <w:rFonts w:ascii="Bookman Old Style" w:eastAsia="Garamond" w:hAnsi="Bookman Old Style" w:cs="Garamond"/>
          <w:bCs/>
          <w:color w:val="000000" w:themeColor="text1"/>
          <w:sz w:val="20"/>
          <w:szCs w:val="20"/>
          <w:lang w:val="en-US"/>
        </w:rPr>
        <w:t xml:space="preserve">. Secara umum, tidak terdapat ayat Al-Quran yang menerangkan secara jelas mengenai wakaf. Oleh karena </w:t>
      </w:r>
      <w:r w:rsidR="002E48F5" w:rsidRPr="0041486A">
        <w:rPr>
          <w:rFonts w:ascii="Bookman Old Style" w:eastAsia="Garamond" w:hAnsi="Bookman Old Style" w:cs="Garamond"/>
          <w:bCs/>
          <w:color w:val="000000" w:themeColor="text1"/>
          <w:sz w:val="20"/>
          <w:szCs w:val="20"/>
          <w:lang w:val="en-US"/>
        </w:rPr>
        <w:t>i</w:t>
      </w:r>
      <w:r w:rsidR="006D29AC" w:rsidRPr="0041486A">
        <w:rPr>
          <w:rFonts w:ascii="Bookman Old Style" w:eastAsia="Garamond" w:hAnsi="Bookman Old Style" w:cs="Garamond"/>
          <w:bCs/>
          <w:color w:val="000000" w:themeColor="text1"/>
          <w:sz w:val="20"/>
          <w:szCs w:val="20"/>
          <w:lang w:val="en-US"/>
        </w:rPr>
        <w:t xml:space="preserve">tu, wakaf termasuk infaq fii sabilillah, maka para ulama dalam menjelaskan konsep wakaf didasarkan pada keumuman ayat-ayat Al-Qur’an yang menjelaskan tentang infaq fii sabilillah. </w:t>
      </w:r>
    </w:p>
    <w:p w14:paraId="38B06290" w14:textId="098629F1" w:rsidR="002E48F5" w:rsidRPr="0041486A" w:rsidRDefault="001A5C6C"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Menurut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{"citationItems":[{"id":"ITEM-1","itemData":{"abstract":"Wakaf telah disyariatkan dan telah dipraktikan oleh umat Islam seluruh dunia sejak zaman Nabi Muhammad SAW sampai sekarang, termasuk oleh masyarakat Islam di Negara Indonesia. Karenanya perwakafan merupakan salah satu masalah yang penting dalam rangka hubungan antara hukum Islam dengan hukum Nasional. Wakaf dilakukan untuk suatu tujuan tertentu yang ditetapkan oleh wakif dalam ikrar wakaf. Dengan demikian, dalam rangka optimalisasi pemberdayaan benda wakaf secara produktif masih perlu banyak evaluasi dan memaksimalkan sosialisasi kepada masyarakat oleh pihak yang berwenang terkait dengan pengelolaan dan pengembangan benda wakaf secara produktif.","author":[{"dropping-particle":"","family":"Munir","given":"Akhmad Sirojuddin","non-dropping-particle":"","parse-names":false,"suffix":""}],"container-title":"Ummul Quro","id":"ITEM-1","issued":{"date-parts":[["2015"]]},"page":"94-109","title":"Optimalisasi Pemberdayaan Wakaf Secara Produktif","type":"article-journal","volume":"6(2)"},"uris":["http://www.mendeley.com/documents/?uuid=6fca038c-e213-46ad-805e-5028bc794aa9"]}],"mendeley":{"formattedCitation":"(A. S. Munir, 2015)","manualFormatting":"Munir (2015)","plainTextFormattedCitation":"(A. S. Munir, 2015)","previouslyFormattedCitation":"(A. S. Munir, 2015)"},"properties":{"noteIndex":0},"schema":"https://github.com/citation-style-language/schema/raw/master/csl-citation.json"}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Munir (2015)</w:t>
      </w:r>
      <w:r w:rsidR="00C77BAA"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di Indonesia, distribusi aset wakaf cenderung mengarah pada kegiatan ibadah dan kurang mengarah pada pemberdayaan ekonomi. Meskipun wakaf belum terasa oleh sebagian masyarakat, namun pengelolaan wakaf sudah dilakukan oleh beberapa lembaga atau institusi pendidikan. Menurut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approach.","author":[{"dropping-particle":"","family":"Senjiati","given":"Ifa Hanifa","non-dropping-particle":"","parse-names":false,"suffix":""},{"dropping-particle":"","family":"Sulistiani","given":"Siska Lis","non-dropping-particle":"","parse-names":false,"suffix":""},{"dropping-particle":"","family":"Mubarok","given":"Muhammad Fikri Rais","non-dropping-particle":"","parse-names":false,"suffix":""}],"container-title":"TAHKIM, Jurnal Peradaban dan Hukum Islam","id":"ITEM-1","issued":{"date-parts":[["2020"]]},"page":"77-88","title":"Analisis Fikih Wakaf dan Undang-Undang Nomor 41 tahun 2004 tentang Wakaf terhadap Perolehan Hak Nadzir pada Pengelolaan Wakaf Uang Nadzir Individu dikampung Tapos Cikalong Wetan","type":"article-journal","volume":"3(1)"},"uris":["http://www.mendeley.com/documents/?uuid=6cd75931-a978-4337-87f5-0c9cea667d02"]}],"mendeley":{"formattedCitation":"(Senjiati et al., 2020)","manualFormatting":"Senjiati et al., (2020)","plainTextFormattedCitation":"(Senjiati et al., 2020)","previouslyFormattedCitation":"(Senjiati et al., 2020)"},"properties":{"noteIndex":0},"schema":"https://github.com/citation-style-language/schema/raw/master/csl-citation.json"}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 xml:space="preserve">Senjiati </w:t>
      </w:r>
      <w:r w:rsidR="00C77BAA" w:rsidRPr="0041486A">
        <w:rPr>
          <w:rFonts w:ascii="Bookman Old Style" w:eastAsia="Garamond" w:hAnsi="Bookman Old Style" w:cs="Garamond"/>
          <w:bCs/>
          <w:i/>
          <w:color w:val="000000" w:themeColor="text1"/>
          <w:sz w:val="20"/>
          <w:szCs w:val="20"/>
          <w:lang w:val="en-US"/>
        </w:rPr>
        <w:t>et al.,</w:t>
      </w:r>
      <w:r w:rsidR="00C77BAA" w:rsidRPr="0041486A">
        <w:rPr>
          <w:rFonts w:ascii="Bookman Old Style" w:eastAsia="Garamond" w:hAnsi="Bookman Old Style" w:cs="Garamond"/>
          <w:bCs/>
          <w:color w:val="000000" w:themeColor="text1"/>
          <w:sz w:val="20"/>
          <w:szCs w:val="20"/>
          <w:lang w:val="en-US"/>
        </w:rPr>
        <w:t xml:space="preserve"> (2020)</w:t>
      </w:r>
      <w:r w:rsidR="00C77BAA"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bahwa pelaksanaan wakaf di Indonesia diatur dalam Undang-undang No 41 tahun 2004 tentang wakaf. Dalam pengelolaannya, nadzhir membutuhkan dukungan sistem akuntansi dan sistem informasi manajemen yang memadai agar wakaf benar-benar memiliki fungsi-fungsi sosial yang mengurangi kesenjangan ekonomi umat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{"citationItems":[{"id":"ITEM-1","itemData":{"author":[{"dropping-particle":"","family":"Putri","given":"Nina Novitasari Eka","non-dropping-particle":"","parse-names":false,"suffix":""},{"dropping-particle":"","family":"Santoso","given":"Cahyo Budi","non-dropping-particle":"","parse-names":false,"suffix":""}],"container-title":"Measurement","id":"ITEM-1","issued":{"date-parts":[["2019"]]},"page":"1-10","title":"Analisa Penerapan PSAK 112 tentang Transaksi Wakaf terhadap Penerimaan, Pengelolaan dan Pengembangan Aset Wakaf Studi Kasus pada Badan Wakaf Indonesia Kota Batam","type":"article-journal","volume":"13(2)"},"uris":["http://www.mendeley.com/documents/?uuid=2a818738-c016-48c3-8f33-d1f64a61d543"]}],"mendeley":{"formattedCitation":"(Putri &amp; Santoso, 2019)","plainTextFormattedCitation":"(Putri &amp; Santoso, 2019)","previouslyFormattedCitation":"(Putri &amp; Santoso, 2019)"},"properties":{"noteIndex":0},"schema":"https://github.com/citation-style-language/schema/raw/master/csl-citation.json"}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(Putri &amp; Santoso, 2019)</w:t>
      </w:r>
      <w:r w:rsidR="00C77BAA" w:rsidRPr="0041486A">
        <w:rPr>
          <w:rFonts w:ascii="Bookman Old Style" w:eastAsia="Garamond" w:hAnsi="Bookman Old Style" w:cs="Garamond"/>
          <w:bCs/>
          <w:color w:val="000000" w:themeColor="text1"/>
          <w:sz w:val="20"/>
          <w:szCs w:val="20"/>
          <w:lang w:val="en-US"/>
        </w:rPr>
        <w:fldChar w:fldCharType="end"/>
      </w:r>
      <w:r w:rsidR="002E48F5" w:rsidRPr="0041486A">
        <w:rPr>
          <w:rFonts w:ascii="Bookman Old Style" w:eastAsia="Garamond" w:hAnsi="Bookman Old Style" w:cs="Garamond"/>
          <w:bCs/>
          <w:color w:val="000000" w:themeColor="text1"/>
          <w:sz w:val="20"/>
          <w:szCs w:val="20"/>
          <w:lang w:val="en-US"/>
        </w:rPr>
        <w:t xml:space="preserve">. Pengelolaan wakaf secara profesional memiliki sumber daya manusia, memiliki kemampuan manajerial serta pengetahuan mengenai wakaf berdasarkan syariat Islam </w:t>
      </w:r>
      <w:r w:rsidR="00C77BAA" w:rsidRPr="0041486A">
        <w:rPr>
          <w:rFonts w:ascii="Bookman Old Style" w:eastAsia="Garamond" w:hAnsi="Bookman Old Style" w:cs="Garamond"/>
          <w:bCs/>
          <w:color w:val="000000" w:themeColor="text1"/>
          <w:sz w:val="20"/>
          <w:szCs w:val="20"/>
          <w:lang w:val="en-US"/>
        </w:rPr>
        <w:fldChar w:fldCharType="begin" w:fldLock="1"/>
      </w:r>
      <w:r w:rsidR="00C77BAA" w:rsidRPr="0041486A">
        <w:rPr>
          <w:rFonts w:ascii="Bookman Old Style" w:eastAsia="Garamond" w:hAnsi="Bookman Old Style" w:cs="Garamond"/>
          <w:bCs/>
          <w:color w:val="000000" w:themeColor="text1"/>
          <w:sz w:val="20"/>
          <w:szCs w:val="20"/>
          <w:lang w:val="en-US"/>
        </w:rPr>
        <w:instrText>ADDIN CSL_CITATION {"citationItems":[{"id":"ITEM-1","itemData":{"author":[{"dropping-particle":"","family":"Sulaeman","given":"Agus","non-dropping-particle":"","parse-names":false,"suffix":""},{"dropping-particle":"","family":"Bayinah","given":"Ai Nur","non-dropping-particle":"","parse-names":false,"suffix":""},{"dropping-particle":"","family":"Hidayat","given":"Roni","non-dropping-particle":"","parse-names":false,"suffix":""}],"container-title":"Jurnal Akuntansi dan Keuangan Islam","id":"ITEM-1","issued":{"date-parts":[["2020"]]},"page":"71-86","title":"Apakah Kepercayaan Muwakif ditentukan oleh Akuntabilitas Pengelolaan Wakaf Tunai dan Peran Nadzir?","type":"article-journal","volume":"8(1)"},"uris":["http://www.mendeley.com/documents/?uuid=54c0c164-32a1-4342-900c-fe57fe350ce2"]}],"mendeley":{"formattedCitation":"(Sulaeman et al., 2020)","plainTextFormattedCitation":"(Sulaeman et al., 2020)","previouslyFormattedCitation":"(Sulaeman et al., 2020)"},"properties":{"noteIndex":0},"schema":"https://github.com/citation-style-language/schema/raw/master/csl-citation.json"}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 xml:space="preserve">(Sulaeman </w:t>
      </w:r>
      <w:r w:rsidR="00C77BAA" w:rsidRPr="0041486A">
        <w:rPr>
          <w:rFonts w:ascii="Bookman Old Style" w:eastAsia="Garamond" w:hAnsi="Bookman Old Style" w:cs="Garamond"/>
          <w:bCs/>
          <w:i/>
          <w:color w:val="000000" w:themeColor="text1"/>
          <w:sz w:val="20"/>
          <w:szCs w:val="20"/>
          <w:lang w:val="en-US"/>
        </w:rPr>
        <w:t>et al.</w:t>
      </w:r>
      <w:r w:rsidR="00C77BAA" w:rsidRPr="0041486A">
        <w:rPr>
          <w:rFonts w:ascii="Bookman Old Style" w:eastAsia="Garamond" w:hAnsi="Bookman Old Style" w:cs="Garamond"/>
          <w:bCs/>
          <w:color w:val="000000" w:themeColor="text1"/>
          <w:sz w:val="20"/>
          <w:szCs w:val="20"/>
          <w:lang w:val="en-US"/>
        </w:rPr>
        <w:t>, 2020)</w:t>
      </w:r>
      <w:r w:rsidR="00C77BAA" w:rsidRPr="0041486A">
        <w:rPr>
          <w:rFonts w:ascii="Bookman Old Style" w:eastAsia="Garamond" w:hAnsi="Bookman Old Style" w:cs="Garamond"/>
          <w:bCs/>
          <w:color w:val="000000" w:themeColor="text1"/>
          <w:sz w:val="20"/>
          <w:szCs w:val="20"/>
          <w:lang w:val="en-US"/>
        </w:rPr>
        <w:fldChar w:fldCharType="end"/>
      </w:r>
      <w:r w:rsidR="002E48F5" w:rsidRPr="0041486A">
        <w:rPr>
          <w:rFonts w:ascii="Bookman Old Style" w:eastAsia="Garamond" w:hAnsi="Bookman Old Style" w:cs="Garamond"/>
          <w:bCs/>
          <w:color w:val="000000" w:themeColor="text1"/>
          <w:sz w:val="20"/>
          <w:szCs w:val="20"/>
          <w:lang w:val="en-US"/>
        </w:rPr>
        <w:t xml:space="preserve">. </w:t>
      </w:r>
    </w:p>
    <w:p w14:paraId="54F48CFB" w14:textId="0F4E1EF2" w:rsidR="002E75B0" w:rsidRPr="0041486A" w:rsidRDefault="00622294"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Menurut </w:t>
      </w:r>
      <w:r w:rsidR="00C77BAA"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{"citationItems":[{"id":"ITEM-1","itemData":{"DOI":"10.30997/jsei.v2i1.291","ISSN":"2442-4420","abstract":"Penelitian ini bertujuan untuk mengetahui pengelolaan wakaf tunai di Badan Wakaf Indonesia dan keefektifan dari pengelolaan wakaf tunai tersebut. Metode yang digunakan dalam penelitian ini adalah Importance Performance Analysis (IPA). Adapun hasil penelitian yang diperoleh adalah pengelolaan wakaf tunai di Badan Wakaf Indonesia telah dilaksanakan secara efektif dengan persentase 54 persen namun secara tradisional, yaitu pengelolaan wakaf tunai hanya dilakukan untuk kepentingan sarana sosial. Sedangkan pengelolaan secara produktif seperti investasi pada sektor riil atau investasi pada sektor financial berdasarkan pada instrumen syariah belum dilaksanakan.Kata kunci: Efektivitas, Pengelolaan","author":[{"dropping-particle":"","family":"Lestari","given":"Wiji","non-dropping-particle":"","parse-names":false,"suffix":""},{"dropping-particle":"","family":"Thantawi","given":"Rifqy","non-dropping-particle":"","parse-names":false,"suffix":""}],"container-title":"Jurnal Syarikah : Jurnal Ekonomi Islam","id":"ITEM-1","issued":{"date-parts":[["2016"]]},"page":"214-234","title":"Efektivitas Pengelolaan Wakaf Tunai Di Badan Wakaf Indonesia","type":"article-journal","volume":"2(1)"},"uris":["http://www.mendeley.com/documents/?uuid=0f15e7c1-6506-4216-9020-f08397bde428"]}],"mendeley":{"formattedCitation":"(Lestari &amp; Thantawi, 2016)","manualFormatting":"Lestari &amp; Thantawi (2016)","plainTextFormattedCitation":"(Lestari &amp; Thantawi, 2016)","previouslyFormattedCitation":"(Lestari &amp; Thantawi, 2016)"},"properties":{"noteIndex":0},"schema":"https://github.com/citation-style-language/schema/raw/master/csl-citation.json"}</w:instrText>
      </w:r>
      <w:r w:rsidR="00C77BAA" w:rsidRPr="0041486A">
        <w:rPr>
          <w:rFonts w:ascii="Bookman Old Style" w:eastAsia="Garamond" w:hAnsi="Bookman Old Style" w:cs="Garamond"/>
          <w:bCs/>
          <w:color w:val="000000" w:themeColor="text1"/>
          <w:sz w:val="20"/>
          <w:szCs w:val="20"/>
          <w:lang w:val="en-US"/>
        </w:rPr>
        <w:fldChar w:fldCharType="separate"/>
      </w:r>
      <w:r w:rsidR="00C77BAA" w:rsidRPr="0041486A">
        <w:rPr>
          <w:rFonts w:ascii="Bookman Old Style" w:eastAsia="Garamond" w:hAnsi="Bookman Old Style" w:cs="Garamond"/>
          <w:bCs/>
          <w:color w:val="000000" w:themeColor="text1"/>
          <w:sz w:val="20"/>
          <w:szCs w:val="20"/>
          <w:lang w:val="en-US"/>
        </w:rPr>
        <w:t>Lestari &amp; Thantawi (2016)</w:t>
      </w:r>
      <w:r w:rsidR="00C77BAA"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bahwa di Indonesia sendiri memiliki badan/ lembaga yang berfungsi untuk mengelola dan mengawasi jalannya kegiatan wakaf yang ada di Indonesia yaitu Badan Wakaf Indonesia (BWI). Badan Wakaf Indonesia (BWI) merupakan lembaga independen yang dibentuk berdasarkan Undang-undang Nomor 41 tahun 2004 mengenai wakaf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{"citationItems":[{"id":"ITEM-1","itemData":{"DOI":"10.21580/ws.2011.19.1.213","ISSN":"0852-7172","abstract":"Although wakafÂ has much importance for social living and practiced since a long time ago, but in fact wakaf has not maximally functioned. Still much numbers of people living under poor line level showed this fact. Some causes makeÂ wakaf is not effective. In one side, the cause is related to the human resources, especially in the side of the organizer (nÄ</w:instrText>
      </w:r>
      <w:r w:rsidR="009B1138" w:rsidRPr="0041486A">
        <w:rPr>
          <w:rFonts w:ascii="Bookman Old Style" w:eastAsia="Garamond" w:hAnsi="Bookman Old Style" w:cs="Bookman Old Style"/>
          <w:bCs/>
          <w:color w:val="000000" w:themeColor="text1"/>
          <w:sz w:val="20"/>
          <w:szCs w:val="20"/>
          <w:lang w:val="en-US"/>
        </w:rPr>
        <w:instrText>áº“</w:instrText>
      </w:r>
      <w:r w:rsidR="009B1138" w:rsidRPr="0041486A">
        <w:rPr>
          <w:rFonts w:ascii="Bookman Old Style" w:eastAsia="Garamond" w:hAnsi="Bookman Old Style" w:cs="Garamond"/>
          <w:bCs/>
          <w:color w:val="000000" w:themeColor="text1"/>
          <w:sz w:val="20"/>
          <w:szCs w:val="20"/>
          <w:lang w:val="en-US"/>
        </w:rPr>
        <w:instrText>ir). Other cause is the weakness of the accountability</w:instrText>
      </w:r>
      <w:r w:rsidR="009B1138" w:rsidRPr="0041486A">
        <w:rPr>
          <w:rFonts w:ascii="Bookman Old Style" w:eastAsia="Garamond" w:hAnsi="Bookman Old Style" w:cs="Bookman Old Style"/>
          <w:bCs/>
          <w:color w:val="000000" w:themeColor="text1"/>
          <w:sz w:val="20"/>
          <w:szCs w:val="20"/>
          <w:lang w:val="en-US"/>
        </w:rPr>
        <w:instrText>Â</w:instrText>
      </w:r>
      <w:r w:rsidR="009B1138" w:rsidRPr="0041486A">
        <w:rPr>
          <w:rFonts w:ascii="Bookman Old Style" w:eastAsia="Garamond" w:hAnsi="Bookman Old Style" w:cs="Garamond"/>
          <w:bCs/>
          <w:color w:val="000000" w:themeColor="text1"/>
          <w:sz w:val="20"/>
          <w:szCs w:val="20"/>
          <w:lang w:val="en-US"/>
        </w:rPr>
        <w:instrText xml:space="preserve"> of</w:instrText>
      </w:r>
      <w:r w:rsidR="009B1138" w:rsidRPr="0041486A">
        <w:rPr>
          <w:rFonts w:ascii="Bookman Old Style" w:eastAsia="Garamond" w:hAnsi="Bookman Old Style" w:cs="Bookman Old Style"/>
          <w:bCs/>
          <w:color w:val="000000" w:themeColor="text1"/>
          <w:sz w:val="20"/>
          <w:szCs w:val="20"/>
          <w:lang w:val="en-US"/>
        </w:rPr>
        <w:instrText>Â</w:instrText>
      </w:r>
      <w:r w:rsidR="009B1138" w:rsidRPr="0041486A">
        <w:rPr>
          <w:rFonts w:ascii="Bookman Old Style" w:eastAsia="Garamond" w:hAnsi="Bookman Old Style" w:cs="Garamond"/>
          <w:bCs/>
          <w:color w:val="000000" w:themeColor="text1"/>
          <w:sz w:val="20"/>
          <w:szCs w:val="20"/>
          <w:lang w:val="en-US"/>
        </w:rPr>
        <w:instrText xml:space="preserve"> wakaf institution. Applying doctrinal and non-doctrinal approach, this research showed that in PKPUÂ the organizer implemented the principle of transparency and accountability in managing waqaf in the institution. The principle of accountability is implemented in the form of audit, both internally and externally by public accountant. Applying the principle of accountability had been increasing the publict trustÂ to the wakaf institution. *** Walaupun wakafÂ memiliki arti penting bagi kehidupan sosial dan telah diÂ­praktekkan sejak lama, namun dalam kenyataannya wakaf belum difungsikan secara maksimal. Masih banyaknya anggota masyarakat yang hidup di bawah garis kemiskinan menunjukkan kenyataan ini. Ada beberapa penyebab yang membuat wakaf tidak efektif. Di salah satu sisi, penyebabnya terkait dengan sumber daya manusia, khususnya pada sisi pengelola (nÄ</w:instrText>
      </w:r>
      <w:r w:rsidR="009B1138" w:rsidRPr="0041486A">
        <w:rPr>
          <w:rFonts w:ascii="Bookman Old Style" w:eastAsia="Garamond" w:hAnsi="Bookman Old Style" w:cs="Bookman Old Style"/>
          <w:bCs/>
          <w:color w:val="000000" w:themeColor="text1"/>
          <w:sz w:val="20"/>
          <w:szCs w:val="20"/>
          <w:lang w:val="en-US"/>
        </w:rPr>
        <w:instrText>áº“</w:instrText>
      </w:r>
      <w:r w:rsidR="009B1138" w:rsidRPr="0041486A">
        <w:rPr>
          <w:rFonts w:ascii="Bookman Old Style" w:eastAsia="Garamond" w:hAnsi="Bookman Old Style" w:cs="Garamond"/>
          <w:bCs/>
          <w:color w:val="000000" w:themeColor="text1"/>
          <w:sz w:val="20"/>
          <w:szCs w:val="20"/>
          <w:lang w:val="en-US"/>
        </w:rPr>
        <w:instrText>ir), Penyebab yang lain adalah lemahnya akuntabilitas</w:instrText>
      </w:r>
      <w:r w:rsidR="009B1138" w:rsidRPr="0041486A">
        <w:rPr>
          <w:rFonts w:ascii="Bookman Old Style" w:eastAsia="Garamond" w:hAnsi="Bookman Old Style" w:cs="Bookman Old Style"/>
          <w:bCs/>
          <w:color w:val="000000" w:themeColor="text1"/>
          <w:sz w:val="20"/>
          <w:szCs w:val="20"/>
          <w:lang w:val="en-US"/>
        </w:rPr>
        <w:instrText>Â</w:instrText>
      </w:r>
      <w:r w:rsidR="009B1138" w:rsidRPr="0041486A">
        <w:rPr>
          <w:rFonts w:ascii="Bookman Old Style" w:eastAsia="Garamond" w:hAnsi="Bookman Old Style" w:cs="Garamond"/>
          <w:bCs/>
          <w:color w:val="000000" w:themeColor="text1"/>
          <w:sz w:val="20"/>
          <w:szCs w:val="20"/>
          <w:lang w:val="en-US"/>
        </w:rPr>
        <w:instrText xml:space="preserve"> dari institusi wakaf. Dengan menggunakan pendekatan doktrinal</w:instrText>
      </w:r>
      <w:r w:rsidR="009B1138" w:rsidRPr="0041486A">
        <w:rPr>
          <w:rFonts w:ascii="Bookman Old Style" w:eastAsia="Garamond" w:hAnsi="Bookman Old Style" w:cs="Bookman Old Style"/>
          <w:bCs/>
          <w:color w:val="000000" w:themeColor="text1"/>
          <w:sz w:val="20"/>
          <w:szCs w:val="20"/>
          <w:lang w:val="en-US"/>
        </w:rPr>
        <w:instrText>Â</w:instrText>
      </w:r>
      <w:r w:rsidR="009B1138" w:rsidRPr="0041486A">
        <w:rPr>
          <w:rFonts w:ascii="Bookman Old Style" w:eastAsia="Garamond" w:hAnsi="Bookman Old Style" w:cs="Garamond"/>
          <w:bCs/>
          <w:color w:val="000000" w:themeColor="text1"/>
          <w:sz w:val="20"/>
          <w:szCs w:val="20"/>
          <w:lang w:val="en-US"/>
        </w:rPr>
        <w:instrText xml:space="preserve"> dan non-doktrinal penelitian ini menunjukkan bahwa di PKPU</w:instrText>
      </w:r>
      <w:r w:rsidR="009B1138" w:rsidRPr="0041486A">
        <w:rPr>
          <w:rFonts w:ascii="Bookman Old Style" w:eastAsia="Garamond" w:hAnsi="Bookman Old Style" w:cs="Bookman Old Style"/>
          <w:bCs/>
          <w:color w:val="000000" w:themeColor="text1"/>
          <w:sz w:val="20"/>
          <w:szCs w:val="20"/>
          <w:lang w:val="en-US"/>
        </w:rPr>
        <w:instrText>Â</w:instrText>
      </w:r>
      <w:r w:rsidR="009B1138" w:rsidRPr="0041486A">
        <w:rPr>
          <w:rFonts w:ascii="Bookman Old Style" w:eastAsia="Garamond" w:hAnsi="Bookman Old Style" w:cs="Garamond"/>
          <w:bCs/>
          <w:color w:val="000000" w:themeColor="text1"/>
          <w:sz w:val="20"/>
          <w:szCs w:val="20"/>
          <w:lang w:val="en-US"/>
        </w:rPr>
        <w:instrText xml:space="preserve"> pengelola menerapkan prinsip transparansi dan akuntabilitas dalam mengelola wakaf di dalam lembaga itu. Prinsip akuntabilitas diimplementasikan dalam bentuk audit, baik internal maupun eksternal oleh akuntan publik. Penerapan prinsip akntabilitas telah meningkatkan kepercayaanÂ publik terhadap lembaga wakaf.","author":[{"dropping-particle":"","family":"Budiman","given":"Achmad Arief","non-dropping-particle":"","parse-names":false,"suffix":""}],"container-title":"Walisongo: Jurnal Penelitian Sosial Keagamaan","id":"ITEM-1","issued":{"date-parts":[["2011"]]},"page":"75-102","title":"Akuntabilitas Lembaga Pengelola Wakaf","type":"article-journal","volume":"19(1)"},"uris":["http://www.mendeley.com/documents/?uuid=3b55c725-cace-4277-9a55-a32ce7c40936"]}],"mendeley":{"formattedCitation":"(Budiman, 2011)","plainTextFormattedCitation":"(Budiman, 2011)","previouslyFormattedCitation":"(Budiman, 2011)"},"properties":{"noteIndex":0},"schema":"https://github.com/citation-style-language/schema/raw/master/csl-citation.json"}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(Budiman, 2011)</w:t>
      </w:r>
      <w:r w:rsidR="009B1138"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Badan wakaf dibentuk dengan tujuan untuk membina nadzhir agar aset-aset wakaf dikelola dengan baik dan lebih produktif</w:t>
      </w:r>
      <w:r w:rsidR="002E75B0" w:rsidRPr="0041486A">
        <w:rPr>
          <w:rFonts w:ascii="Bookman Old Style" w:eastAsia="Garamond" w:hAnsi="Bookman Old Style" w:cs="Garamond"/>
          <w:bCs/>
          <w:color w:val="000000" w:themeColor="text1"/>
          <w:sz w:val="20"/>
          <w:szCs w:val="20"/>
          <w:lang w:val="en-US"/>
        </w:rPr>
        <w:t xml:space="preserve"> sehingga dapat memberikan manfaat yang lebih besar kepada masyarakat dalam bentuk pemberdayaan ekonomi, pembangunan infrastruktur maupun pelayanan sosial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{"citationItems":[{"id":"ITEM-1","itemData":{"author":[{"dropping-particle":"","family":"Nurhidayati","given":"Suci Sri","non-dropping-particle":"","parse-names":false,"suffix":""},{"dropping-particle":"","family":"Sulistiani","given":"Siska Lis","non-dropping-particle":"","parse-names":false,"suffix":""},{"dropping-particle":"","family":"Hidayat","given":"Yayat Rahmat","non-dropping-particle":"","parse-names":false,"suffix":""}],"container-title":"Prosiding Hukum Ekonomi Syariah","id":"ITEM-1","issue":"2","issued":{"date-parts":[["2019"]]},"page":"624-629","title":"Efektivitas Strategi Fundraising Wakaf Melalui Uang Berbasis Online di Lembaga Wakaf Daarut Tauhiid","type":"article-journal","volume":"5(2)"},"uris":["http://www.mendeley.com/documents/?uuid=cdf40b65-9b27-45c2-87fb-796aee9655a8"]}],"mendeley":{"formattedCitation":"(Nurhidayati et al., 2019)","plainTextFormattedCitation":"(Nurhidayati et al., 2019)","previouslyFormattedCitation":"(Nurhidayati et al., 2019)"},"properties":{"noteIndex":0},"schema":"https://github.com/citation-style-language/schema/raw/master/csl-citation.json"}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 xml:space="preserve">(Nurhidayati </w:t>
      </w:r>
      <w:r w:rsidR="009B1138" w:rsidRPr="0041486A">
        <w:rPr>
          <w:rFonts w:ascii="Bookman Old Style" w:eastAsia="Garamond" w:hAnsi="Bookman Old Style" w:cs="Garamond"/>
          <w:bCs/>
          <w:i/>
          <w:color w:val="000000" w:themeColor="text1"/>
          <w:sz w:val="20"/>
          <w:szCs w:val="20"/>
          <w:lang w:val="en-US"/>
        </w:rPr>
        <w:t>et al.</w:t>
      </w:r>
      <w:r w:rsidR="009B1138" w:rsidRPr="0041486A">
        <w:rPr>
          <w:rFonts w:ascii="Bookman Old Style" w:eastAsia="Garamond" w:hAnsi="Bookman Old Style" w:cs="Garamond"/>
          <w:bCs/>
          <w:color w:val="000000" w:themeColor="text1"/>
          <w:sz w:val="20"/>
          <w:szCs w:val="20"/>
          <w:lang w:val="en-US"/>
        </w:rPr>
        <w:t>, 2019)</w:t>
      </w:r>
      <w:r w:rsidR="009B1138" w:rsidRPr="0041486A">
        <w:rPr>
          <w:rFonts w:ascii="Bookman Old Style" w:eastAsia="Garamond" w:hAnsi="Bookman Old Style" w:cs="Garamond"/>
          <w:bCs/>
          <w:color w:val="000000" w:themeColor="text1"/>
          <w:sz w:val="20"/>
          <w:szCs w:val="20"/>
          <w:lang w:val="en-US"/>
        </w:rPr>
        <w:fldChar w:fldCharType="end"/>
      </w:r>
      <w:r w:rsidR="002E75B0" w:rsidRPr="0041486A">
        <w:rPr>
          <w:rFonts w:ascii="Bookman Old Style" w:eastAsia="Garamond" w:hAnsi="Bookman Old Style" w:cs="Garamond"/>
          <w:bCs/>
          <w:color w:val="000000" w:themeColor="text1"/>
          <w:sz w:val="20"/>
          <w:szCs w:val="20"/>
          <w:lang w:val="en-US"/>
        </w:rPr>
        <w:t xml:space="preserve">. Struktur kepengurusan BWI terdiri atas dewan pertimbangan dan badan pelaksana yang masing-masing dipimpin oleh ketua dan dipilih oleh para anggota. Anggota BWI diangkat dan diberhentikan oleh Presiden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approach.","author":[{"dropping-particle":"","family":"Said","given":"Salmah","non-dropping-particle":"","parse-names":false,"suffix":""},{"dropping-particle":"","family":"Amiruddin","given":"andi muhammad ali","non-dropping-particle":"","parse-names":false,"suffix":""}],"container-title":"AL-MASHRAFIYAH: Jurnal Ekonomi, Keuangan, dan Perbankan Syariah","id":"ITEM-1","issued":{"date-parts":[["2019"]]},"page":"43-55","title":"Wakaf Tunai dan Pemberdayaan Ekonomi Masyarakat","type":"article-journal","volume":"3(1)"},"uris":["http://www.mendeley.com/documents/?uuid=dede998e-5a15-4b4d-b384-7ce557c311f5"]}],"mendeley":{"formattedCitation":"(Said &amp; Amiruddin, 2019)","plainTextFormattedCitation":"(Said &amp; Amiruddin, 2019)","previouslyFormattedCitation":"(Said &amp; Amiruddin, 2019)"},"properties":{"noteIndex":0},"schema":"https://github.com/citation-style-language/schema/raw/master/csl-citation.json"}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(Said &amp; Amiruddin, 2019)</w:t>
      </w:r>
      <w:r w:rsidR="009B1138" w:rsidRPr="0041486A">
        <w:rPr>
          <w:rFonts w:ascii="Bookman Old Style" w:eastAsia="Garamond" w:hAnsi="Bookman Old Style" w:cs="Garamond"/>
          <w:bCs/>
          <w:color w:val="000000" w:themeColor="text1"/>
          <w:sz w:val="20"/>
          <w:szCs w:val="20"/>
          <w:lang w:val="en-US"/>
        </w:rPr>
        <w:fldChar w:fldCharType="end"/>
      </w:r>
      <w:r w:rsidR="002E75B0" w:rsidRPr="0041486A">
        <w:rPr>
          <w:rFonts w:ascii="Bookman Old Style" w:eastAsia="Garamond" w:hAnsi="Bookman Old Style" w:cs="Garamond"/>
          <w:bCs/>
          <w:color w:val="000000" w:themeColor="text1"/>
          <w:sz w:val="20"/>
          <w:szCs w:val="20"/>
          <w:lang w:val="en-US"/>
        </w:rPr>
        <w:t>.</w:t>
      </w:r>
    </w:p>
    <w:p w14:paraId="5A9D440B" w14:textId="2F071EA1" w:rsidR="00415554" w:rsidRPr="0041486A" w:rsidRDefault="003C68C4"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Pemerintah mengeluarkan Peraturan Pemerintah No. 42 tahun 2006 tentang pelaksanaan UU no. 41 tahun 2004. Pada UU no 41 tahun 2004 pasal 47, pemerintah mengatur tentang keberadaan Badan Wakaf Indonesia (BWI) serta kedudukan dan tugasnya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{"citationItems":[{"id":"ITEM-1","itemData":{"abstract":"The theme of the article is \"economy based on the principles of Islam\". The research explores how the management and utilization of endowment (waqf) of land and building at Dhompet Amal Ibnu Abbas (DASI) West Nusa Tenggara. Method of theresearch is qualitative using observation, interview and documentation instrument. Result of the research shows that the Nazhir and Wakif’s understanding in the management and utilization of waqf of land and building is still based ontrust management. Waqf management by nazhir is still traditional which the waqf law No. 41 year 2004 is not implemented completely. The Nazhir of waqf only fulfills the moral requirement of managing waqf as a trustworthy institution, but the institution has not yet fulfilled management and business requirement. In term of utilization, the institution is already qualified with the law of waqf which aims helping poor family (dhuafa) and orphans welfare. Therefore, waqf management institution is expected to improve human resources in managing waqf productively in order to attract society to do waqf, support from religious leaders and the government in this case the Ministry of Religion should be more aggressive in mobilizing waqf program, especially in terms of administration of waqf assets. They should socialize and nurture waqf manager (nazhir) actively to grow and provide wide benefits for social welfare, especially dhuafa family and orphans.","author":[{"dropping-particle":"","family":"Nurhidayani","given":"","non-dropping-particle":"","parse-names":false,"suffix":""},{"dropping-particle":"","family":"Yasin","given":"Muaidy","non-dropping-particle":"","parse-names":false,"suffix":""},{"dropping-particle":"","family":"Busaini","given":"","non-dropping-particle":"","parse-names":false,"suffix":""}],"container-title":"Maqdis: Jurnal Kajian Ekonomi Islam","id":"ITEM-1","issued":{"date-parts":[["2017"]]},"page":"163-175","title":"Pengelolaan dan Pemanfaatan Wakaf Tanah dan Bangunan","type":"article-journal","volume":"2(2)"},"uris":["http://www.mendeley.com/documents/?uuid=f87f620a-8cab-4aef-bdf3-82b7b8585382"]}],"mendeley":{"formattedCitation":"(Nurhidayani et al., 2017)","plainTextFormattedCitation":"(Nurhidayani et al., 2017)","previouslyFormattedCitation":"(Nurhidayani et al., 2017)"},"properties":{"noteIndex":0},"schema":"https://github.com/citation-style-language/schema/raw/master/csl-citation.json"}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 xml:space="preserve">(Nurhidayani </w:t>
      </w:r>
      <w:r w:rsidR="009B1138" w:rsidRPr="0041486A">
        <w:rPr>
          <w:rFonts w:ascii="Bookman Old Style" w:eastAsia="Garamond" w:hAnsi="Bookman Old Style" w:cs="Garamond"/>
          <w:bCs/>
          <w:i/>
          <w:color w:val="000000" w:themeColor="text1"/>
          <w:sz w:val="20"/>
          <w:szCs w:val="20"/>
          <w:lang w:val="en-US"/>
        </w:rPr>
        <w:t>et al</w:t>
      </w:r>
      <w:r w:rsidR="009B1138" w:rsidRPr="0041486A">
        <w:rPr>
          <w:rFonts w:ascii="Bookman Old Style" w:eastAsia="Garamond" w:hAnsi="Bookman Old Style" w:cs="Garamond"/>
          <w:bCs/>
          <w:color w:val="000000" w:themeColor="text1"/>
          <w:sz w:val="20"/>
          <w:szCs w:val="20"/>
          <w:lang w:val="en-US"/>
        </w:rPr>
        <w:t>., 2017)</w:t>
      </w:r>
      <w:r w:rsidR="009B1138"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Pengelolaan wakaf di Indonesia diketahui masih bersifat statis dan belum bernilai ekonomis serta produktif oleh karenanya pemanfaatan wakaf masih sebatas hal-hal yang bersifat fisik seperti gedung, tanah, atau benda yang tahan lama.</w:t>
      </w:r>
      <w:r w:rsidR="00415554" w:rsidRPr="0041486A">
        <w:rPr>
          <w:rFonts w:ascii="Bookman Old Style" w:eastAsia="Garamond" w:hAnsi="Bookman Old Style" w:cs="Garamond"/>
          <w:bCs/>
          <w:color w:val="000000" w:themeColor="text1"/>
          <w:sz w:val="20"/>
          <w:szCs w:val="20"/>
          <w:lang w:val="en-US"/>
        </w:rPr>
        <w:t xml:space="preserve"> Wakaf tidak hanya bertujuan menyediakan berbagai saran ibadah dan sosial, tetapi juga memiliki potensi ekonomi yang sangat tinggi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author":[{"dropping-particle":"","family":"Afandi","given":"Moh.","non-dropping-particle":"","parse-names":false,"suffix":""}],"container-title":"Et-Tijarie","id":"ITEM-1","issued":{"date-parts":[["2014"]]},"page":"74-90","title":"Revitalisasi Manajemen Wakaf Produktif di Indonesia","type":"article-journal","volume":"1(1)"},"uris":["http://www.mendeley.com/documents/?uuid=9f3e0cf8-5697-4c49-81f2-54218bb713b5"]}],"mendeley":{"formattedCitation":"(Afandi, 2014)","plainTextFormattedCitation":"(Afandi, 2014)","previouslyFormattedCitation":"(Afandi, 2014)"},"properties":{"noteIndex":0},"schema":"https://github.com/citation-style-language/schema/raw/master/csl-citation.json"}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(Afandi, 2014)</w:t>
      </w:r>
      <w:r w:rsidR="009B1138" w:rsidRPr="0041486A">
        <w:rPr>
          <w:rFonts w:ascii="Bookman Old Style" w:eastAsia="Garamond" w:hAnsi="Bookman Old Style" w:cs="Garamond"/>
          <w:bCs/>
          <w:color w:val="000000" w:themeColor="text1"/>
          <w:sz w:val="20"/>
          <w:szCs w:val="20"/>
          <w:lang w:val="en-US"/>
        </w:rPr>
        <w:fldChar w:fldCharType="end"/>
      </w:r>
      <w:r w:rsidR="009B1138" w:rsidRPr="0041486A">
        <w:rPr>
          <w:rFonts w:ascii="Bookman Old Style" w:eastAsia="Garamond" w:hAnsi="Bookman Old Style" w:cs="Garamond"/>
          <w:bCs/>
          <w:color w:val="000000" w:themeColor="text1"/>
          <w:sz w:val="20"/>
          <w:szCs w:val="20"/>
          <w:lang w:val="en-US"/>
        </w:rPr>
        <w:t>.</w:t>
      </w:r>
    </w:p>
    <w:p w14:paraId="319D12A5" w14:textId="7045BF1F" w:rsidR="00C07F10" w:rsidRPr="0041486A" w:rsidRDefault="002E48F5"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Menurut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{"citationItems":[{"id":"ITEM-1","itemData":{"author":[{"dropping-particle":"","family":"Putri","given":"Nina Novitasari Eka","non-dropping-particle":"","parse-names":false,"suffix":""},{"dropping-particle":"","family":"Santoso","given":"Cahyo Budi","non-dropping-particle":"","parse-names":false,"suffix":""}],"container-title":"Measurement","id":"ITEM-1","issued":{"date-parts":[["2019"]]},"page":"1-10","title":"Analisa Penerapan PSAK 112 tentang Transaksi Wakaf terhadap Penerimaan, Pengelolaan dan Pengembangan Aset Wakaf Studi Kasus pada Badan Wakaf Indonesia Kota Batam","type":"article-journal","volume":"13(2)"},"uris":["http://www.mendeley.com/documents/?uuid=2a818738-c016-48c3-8f33-d1f64a61d543"]}],"mendeley":{"formattedCitation":"(Putri &amp; Santoso, 2019)","manualFormatting":"Putri &amp; Santoso (2019)","plainTextFormattedCitation":"(Putri &amp; Santoso, 2019)","previouslyFormattedCitation":"(Putri &amp; Santoso, 2019)"},"properties":{"noteIndex":0},"schema":"https://github.com/citation-style-language/schema/raw/master/csl-citation.json"}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Putri &amp; Santoso (2019)</w:t>
      </w:r>
      <w:r w:rsidR="009B1138"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bahwa pada PSAK 112 tentang Akuntansi wakaf ini diperintahkan bagi nadzhir organisasi berbadan hukum dan wakif organisasi berbadan hukum.</w:t>
      </w:r>
      <w:r w:rsidR="004E6A7C" w:rsidRPr="0041486A">
        <w:rPr>
          <w:rFonts w:ascii="Bookman Old Style" w:eastAsia="Garamond" w:hAnsi="Bookman Old Style" w:cs="Garamond"/>
          <w:bCs/>
          <w:color w:val="000000" w:themeColor="text1"/>
          <w:sz w:val="20"/>
          <w:szCs w:val="20"/>
          <w:lang w:val="en-US"/>
        </w:rPr>
        <w:t xml:space="preserve"> Kehadiran PSAK 112 diharapkan dapat membantu organisasi yang terlibat dengan wakaf dalam upaya meningkatkan lembaga atau institusi yang lebih akuntabel dan transparansi. Tujuan PSAK 112 bertujuan untuk mengatur mengenai perlakuan akuntansi atas transaksi wakaf seperti pengakuan, pengukuran, penyajian, dan pengungkapan atas transaksi wakaf yang dilakukan oleh nadzhir organisasi dan wakif organisasi berbadan hukum. </w:t>
      </w:r>
      <w:r w:rsidR="00622294" w:rsidRPr="0041486A">
        <w:rPr>
          <w:rFonts w:ascii="Bookman Old Style" w:eastAsia="Garamond" w:hAnsi="Bookman Old Style" w:cs="Garamond"/>
          <w:bCs/>
          <w:color w:val="000000" w:themeColor="text1"/>
          <w:sz w:val="20"/>
          <w:szCs w:val="20"/>
          <w:lang w:val="en-US"/>
        </w:rPr>
        <w:t>Penerbitan PSAK 112 secara umum berlandaskan adanya kebutuhan publik yang cukup mendesak.</w:t>
      </w:r>
    </w:p>
    <w:p w14:paraId="2E879AE8" w14:textId="0E58439A" w:rsidR="00415554" w:rsidRPr="0041486A" w:rsidRDefault="00415554"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Menurut </w:t>
      </w:r>
      <w:r w:rsidR="009B1138" w:rsidRPr="0041486A">
        <w:rPr>
          <w:rFonts w:ascii="Bookman Old Style" w:eastAsia="Garamond" w:hAnsi="Bookman Old Style" w:cs="Garamond"/>
          <w:bCs/>
          <w:color w:val="000000" w:themeColor="text1"/>
          <w:sz w:val="20"/>
          <w:szCs w:val="20"/>
          <w:lang w:val="en-US"/>
        </w:rPr>
        <w:fldChar w:fldCharType="begin" w:fldLock="1"/>
      </w:r>
      <w:r w:rsidR="009B1138" w:rsidRPr="0041486A">
        <w:rPr>
          <w:rFonts w:ascii="Bookman Old Style" w:eastAsia="Garamond" w:hAnsi="Bookman Old Style" w:cs="Garamond"/>
          <w:bCs/>
          <w:color w:val="000000" w:themeColor="text1"/>
          <w:sz w:val="20"/>
          <w:szCs w:val="20"/>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approach.","author":[{"dropping-particle":"","family":"Mulyasari","given":"Windu","non-dropping-particle":"","parse-names":false,"suffix":""}],"container-title":"Jurnal Riset Akuntansi Terpadu","id":"ITEM-1","issued":{"date-parts":[["2017"]]},"page":"16-28","title":"Sistem Akuntansi Wakaf sebagai Bentuk Pertanggungjawaban Harta Wakaf ke Publik","type":"article-journal","volume":"10(1)"},"uris":["http://www.mendeley.com/documents/?uuid=a83b3018-62d1-4d68-8d36-48db9de1656d"]}],"mendeley":{"formattedCitation":"(Mulyasari, 2017)","manualFormatting":"Mulyasari (2017)","plainTextFormattedCitation":"(Mulyasari, 2017)","previouslyFormattedCitation":"(Mulyasari, 2017)"},"properties":{"noteIndex":0},"schema":"https://github.com/citation-style-language/schema/raw/master/csl-citation.json"}</w:instrText>
      </w:r>
      <w:r w:rsidR="009B1138" w:rsidRPr="0041486A">
        <w:rPr>
          <w:rFonts w:ascii="Bookman Old Style" w:eastAsia="Garamond" w:hAnsi="Bookman Old Style" w:cs="Garamond"/>
          <w:bCs/>
          <w:color w:val="000000" w:themeColor="text1"/>
          <w:sz w:val="20"/>
          <w:szCs w:val="20"/>
          <w:lang w:val="en-US"/>
        </w:rPr>
        <w:fldChar w:fldCharType="separate"/>
      </w:r>
      <w:r w:rsidR="009B1138" w:rsidRPr="0041486A">
        <w:rPr>
          <w:rFonts w:ascii="Bookman Old Style" w:eastAsia="Garamond" w:hAnsi="Bookman Old Style" w:cs="Garamond"/>
          <w:bCs/>
          <w:color w:val="000000" w:themeColor="text1"/>
          <w:sz w:val="20"/>
          <w:szCs w:val="20"/>
          <w:lang w:val="en-US"/>
        </w:rPr>
        <w:t>Mulyasari (2017)</w:t>
      </w:r>
      <w:r w:rsidR="009B1138" w:rsidRPr="0041486A">
        <w:rPr>
          <w:rFonts w:ascii="Bookman Old Style" w:eastAsia="Garamond" w:hAnsi="Bookman Old Style" w:cs="Garamond"/>
          <w:bCs/>
          <w:color w:val="000000" w:themeColor="text1"/>
          <w:sz w:val="20"/>
          <w:szCs w:val="20"/>
          <w:lang w:val="en-US"/>
        </w:rPr>
        <w:fldChar w:fldCharType="end"/>
      </w:r>
      <w:r w:rsidRPr="0041486A">
        <w:rPr>
          <w:rFonts w:ascii="Bookman Old Style" w:eastAsia="Garamond" w:hAnsi="Bookman Old Style" w:cs="Garamond"/>
          <w:bCs/>
          <w:color w:val="000000" w:themeColor="text1"/>
          <w:sz w:val="20"/>
          <w:szCs w:val="20"/>
          <w:lang w:val="en-US"/>
        </w:rPr>
        <w:t xml:space="preserve"> model sistem akuntansi wakaf berguna mengembangkan sistem akuntansi pertanggungjawaban harta wakaf dengan melihat aspek organisasi maupun pencatatan</w:t>
      </w:r>
      <w:r w:rsidR="00BB2306" w:rsidRPr="0041486A">
        <w:rPr>
          <w:rFonts w:ascii="Bookman Old Style" w:eastAsia="Garamond" w:hAnsi="Bookman Old Style" w:cs="Garamond"/>
          <w:bCs/>
          <w:color w:val="000000" w:themeColor="text1"/>
          <w:sz w:val="20"/>
          <w:szCs w:val="20"/>
          <w:lang w:val="en-US"/>
        </w:rPr>
        <w:t xml:space="preserve"> laporan akuntansi. Pengelolaan dan pengembangan wakaf merupakan suatu entitas pelaporan yang menyusun laporan keuangan tersendiri dan tidak dikonsolidasikan ke laporan keuangan organisasi atau badan hukum dari nadzhir.</w:t>
      </w:r>
      <w:r w:rsidR="00B82ED8" w:rsidRPr="0041486A">
        <w:rPr>
          <w:rFonts w:ascii="Bookman Old Style" w:eastAsia="Garamond" w:hAnsi="Bookman Old Style" w:cs="Garamond"/>
          <w:bCs/>
          <w:color w:val="000000" w:themeColor="text1"/>
          <w:sz w:val="20"/>
          <w:szCs w:val="20"/>
          <w:lang w:val="en-US"/>
        </w:rPr>
        <w:t xml:space="preserve"> Dalam pengelolaan wakaf dibutuhkan juga adanya akuntansi wakaf yang bertujuan untuk mengetahui bagaimana pengakuan, pengukuran, </w:t>
      </w:r>
      <w:r w:rsidR="00B82ED8" w:rsidRPr="0041486A">
        <w:rPr>
          <w:rFonts w:ascii="Bookman Old Style" w:eastAsia="Garamond" w:hAnsi="Bookman Old Style" w:cs="Garamond"/>
          <w:bCs/>
          <w:color w:val="000000" w:themeColor="text1"/>
          <w:sz w:val="20"/>
          <w:szCs w:val="20"/>
          <w:lang w:val="en-US"/>
        </w:rPr>
        <w:lastRenderedPageBreak/>
        <w:t xml:space="preserve">penyajian dan pengungkapan wakaf. Selain itu diperlukan juga untuk mengetahui bagaimana penyesuaian perlakuan akuntansi menurut PSAK 112 serta bagaimana akuntabilitas yang dilakukan untuk pengelolaan wakaf menurut </w:t>
      </w:r>
      <w:r w:rsidR="00B82ED8" w:rsidRPr="0041486A">
        <w:rPr>
          <w:rFonts w:ascii="Bookman Old Style" w:eastAsia="Garamond" w:hAnsi="Bookman Old Style" w:cs="Garamond"/>
          <w:bCs/>
          <w:i/>
          <w:color w:val="000000" w:themeColor="text1"/>
          <w:sz w:val="20"/>
          <w:szCs w:val="20"/>
          <w:lang w:val="en-US"/>
        </w:rPr>
        <w:t>Shariah Enterprise Theory</w:t>
      </w:r>
      <w:r w:rsidR="00B82ED8" w:rsidRPr="0041486A">
        <w:rPr>
          <w:rFonts w:ascii="Bookman Old Style" w:eastAsia="Garamond" w:hAnsi="Bookman Old Style" w:cs="Garamond"/>
          <w:bCs/>
          <w:color w:val="000000" w:themeColor="text1"/>
          <w:sz w:val="20"/>
          <w:szCs w:val="20"/>
          <w:lang w:val="en-US"/>
        </w:rPr>
        <w:t xml:space="preserve">. </w:t>
      </w:r>
    </w:p>
    <w:p w14:paraId="48B107F3" w14:textId="2907889D" w:rsidR="00C07F10" w:rsidRPr="0041486A" w:rsidRDefault="00B82ED8" w:rsidP="00B23860">
      <w:pPr>
        <w:spacing w:after="0" w:line="240" w:lineRule="auto"/>
        <w:ind w:firstLine="567"/>
        <w:jc w:val="both"/>
        <w:rPr>
          <w:rFonts w:ascii="Bookman Old Style" w:eastAsia="Garamond" w:hAnsi="Bookman Old Style" w:cs="Garamond"/>
          <w:bCs/>
          <w:color w:val="000000" w:themeColor="text1"/>
          <w:sz w:val="20"/>
          <w:szCs w:val="20"/>
          <w:lang w:val="en-US"/>
        </w:rPr>
      </w:pPr>
      <w:r w:rsidRPr="0041486A">
        <w:rPr>
          <w:rFonts w:ascii="Bookman Old Style" w:eastAsia="Garamond" w:hAnsi="Bookman Old Style" w:cs="Garamond"/>
          <w:bCs/>
          <w:color w:val="000000" w:themeColor="text1"/>
          <w:sz w:val="20"/>
          <w:szCs w:val="20"/>
          <w:lang w:val="en-US"/>
        </w:rPr>
        <w:t xml:space="preserve">Penelitian ini betujuan untuk mengetahui perlakuan Akuntansi atas wakaf serta menyesuaikan dengan aturan PSAK 112 guna memberikan Akuntabilitas kepada pengelola wakaf berdasarkan Shariah Enterprise Theory pada lembaga pengelola wakaf. Manfaat teoritis dalam penelitian ini </w:t>
      </w:r>
      <w:r w:rsidR="00C376A2" w:rsidRPr="0041486A">
        <w:rPr>
          <w:rFonts w:ascii="Bookman Old Style" w:eastAsia="Garamond" w:hAnsi="Bookman Old Style" w:cs="Garamond"/>
          <w:bCs/>
          <w:color w:val="000000" w:themeColor="text1"/>
          <w:sz w:val="20"/>
          <w:szCs w:val="20"/>
          <w:lang w:val="en-US"/>
        </w:rPr>
        <w:t>diharapkan mampu menjadi landasan dalam mewujudkan pengelolaan wakaf yang sesuai dengan syariat Islam dimana Shariah Enterprise Theory ini menekankan adanya keseimbangan atas akuntabilitas yang dilakukan kepada Tuhan, manusia dan alam.</w:t>
      </w:r>
      <w:r w:rsidRPr="0041486A">
        <w:rPr>
          <w:rFonts w:ascii="Bookman Old Style" w:eastAsia="Garamond" w:hAnsi="Bookman Old Style" w:cs="Garamond"/>
          <w:bCs/>
          <w:color w:val="000000" w:themeColor="text1"/>
          <w:sz w:val="20"/>
          <w:szCs w:val="20"/>
          <w:lang w:val="en-US"/>
        </w:rPr>
        <w:t xml:space="preserve"> </w:t>
      </w:r>
      <w:r w:rsidR="00C376A2" w:rsidRPr="0041486A">
        <w:rPr>
          <w:rFonts w:ascii="Bookman Old Style" w:eastAsia="Garamond" w:hAnsi="Bookman Old Style" w:cs="Garamond"/>
          <w:bCs/>
          <w:color w:val="000000" w:themeColor="text1"/>
          <w:sz w:val="20"/>
          <w:szCs w:val="20"/>
          <w:lang w:val="en-US"/>
        </w:rPr>
        <w:t>Manfaat praktis dalam penelitian ini diharapkan dapat berkontribusi dan bermanfaat kepada pihak terkait dalam hal ini lembaga pengelola wakaf dengan lebih memperhatikan aspek pertanggungjawaban demi menciptakan pengelolaan wakaf yang lebih optimal, efektif, ekonomis serta produktif. Manfaat regulasi dalam penelitian ini diharapkan memberikan manfaat kepada pengelola wakaf untuk menjalankan perannya dengan baik sesuai UU no 41 tahun 2004 tentang wakaf.</w:t>
      </w:r>
    </w:p>
    <w:p w14:paraId="12FBD24D" w14:textId="77777777" w:rsidR="000A7C53" w:rsidRPr="0041486A" w:rsidRDefault="000A7C53" w:rsidP="00B23860">
      <w:pPr>
        <w:spacing w:after="0" w:line="240" w:lineRule="auto"/>
        <w:jc w:val="both"/>
        <w:rPr>
          <w:rFonts w:ascii="Bookman Old Style" w:eastAsia="Garamond" w:hAnsi="Bookman Old Style" w:cs="Garamond"/>
          <w:b/>
          <w:color w:val="000000" w:themeColor="text1"/>
          <w:sz w:val="20"/>
          <w:szCs w:val="20"/>
          <w:lang w:val="en-US"/>
        </w:rPr>
      </w:pPr>
    </w:p>
    <w:p w14:paraId="1ABC544D" w14:textId="1B02B60B" w:rsidR="00E15747" w:rsidRPr="0041486A" w:rsidRDefault="00E15747" w:rsidP="00B23860">
      <w:pPr>
        <w:spacing w:after="0" w:line="240" w:lineRule="auto"/>
        <w:rPr>
          <w:rFonts w:ascii="Bookman Old Style" w:eastAsia="Garamond" w:hAnsi="Bookman Old Style" w:cs="Garamond"/>
          <w:b/>
          <w:color w:val="000000" w:themeColor="text1"/>
          <w:sz w:val="20"/>
          <w:szCs w:val="20"/>
        </w:rPr>
      </w:pPr>
      <w:r w:rsidRPr="0041486A">
        <w:rPr>
          <w:rFonts w:ascii="Bookman Old Style" w:eastAsia="Garamond" w:hAnsi="Bookman Old Style" w:cs="Garamond"/>
          <w:b/>
          <w:color w:val="000000" w:themeColor="text1"/>
          <w:sz w:val="20"/>
          <w:szCs w:val="20"/>
          <w:lang w:val="en-US"/>
        </w:rPr>
        <w:t>Tinjauan Literatur</w:t>
      </w:r>
    </w:p>
    <w:p w14:paraId="7AC8C90F" w14:textId="59DD6033" w:rsidR="00223D2C" w:rsidRPr="0041486A" w:rsidRDefault="00223D2C" w:rsidP="00B23860">
      <w:pPr>
        <w:spacing w:after="0" w:line="240" w:lineRule="auto"/>
        <w:ind w:firstLine="567"/>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i/>
          <w:color w:val="000000" w:themeColor="text1"/>
          <w:sz w:val="20"/>
          <w:szCs w:val="20"/>
          <w:lang w:val="en-US"/>
        </w:rPr>
        <w:t xml:space="preserve">Syariah </w:t>
      </w:r>
      <w:r w:rsidR="002508EA" w:rsidRPr="0041486A">
        <w:rPr>
          <w:rFonts w:ascii="Bookman Old Style" w:eastAsia="Garamond" w:hAnsi="Bookman Old Style" w:cs="Garamond"/>
          <w:i/>
          <w:color w:val="000000" w:themeColor="text1"/>
          <w:sz w:val="20"/>
          <w:szCs w:val="20"/>
          <w:lang w:val="en-US"/>
        </w:rPr>
        <w:t>Enterprise Theory</w:t>
      </w:r>
      <w:r w:rsidR="002508EA" w:rsidRPr="0041486A">
        <w:rPr>
          <w:rFonts w:ascii="Bookman Old Style" w:eastAsia="Garamond" w:hAnsi="Bookman Old Style" w:cs="Garamond"/>
          <w:color w:val="000000" w:themeColor="text1"/>
          <w:sz w:val="20"/>
          <w:szCs w:val="20"/>
          <w:lang w:val="en-US"/>
        </w:rPr>
        <w:t xml:space="preserve"> </w:t>
      </w:r>
      <w:r w:rsidRPr="0041486A">
        <w:rPr>
          <w:rFonts w:ascii="Bookman Old Style" w:eastAsia="Garamond" w:hAnsi="Bookman Old Style" w:cs="Garamond"/>
          <w:color w:val="000000" w:themeColor="text1"/>
          <w:sz w:val="20"/>
          <w:szCs w:val="20"/>
          <w:lang w:val="en-US"/>
        </w:rPr>
        <w:t xml:space="preserve">merupakan pengembangan teori yang mangadopsi nilai-nilai Islam yang bersifat humanis dan transedental. </w:t>
      </w:r>
      <w:r w:rsidRPr="0041486A">
        <w:rPr>
          <w:rFonts w:ascii="Bookman Old Style" w:eastAsia="Garamond" w:hAnsi="Bookman Old Style" w:cs="Garamond"/>
          <w:i/>
          <w:color w:val="000000" w:themeColor="text1"/>
          <w:sz w:val="20"/>
          <w:szCs w:val="20"/>
          <w:lang w:val="en-US"/>
        </w:rPr>
        <w:t xml:space="preserve">Syariah </w:t>
      </w:r>
      <w:r w:rsidR="002508EA" w:rsidRPr="0041486A">
        <w:rPr>
          <w:rFonts w:ascii="Bookman Old Style" w:eastAsia="Garamond" w:hAnsi="Bookman Old Style" w:cs="Garamond"/>
          <w:i/>
          <w:color w:val="000000" w:themeColor="text1"/>
          <w:sz w:val="20"/>
          <w:szCs w:val="20"/>
          <w:lang w:val="en-US"/>
        </w:rPr>
        <w:t>Enterprise Theory</w:t>
      </w:r>
      <w:r w:rsidR="002508EA" w:rsidRPr="0041486A">
        <w:rPr>
          <w:rFonts w:ascii="Bookman Old Style" w:eastAsia="Garamond" w:hAnsi="Bookman Old Style" w:cs="Garamond"/>
          <w:color w:val="000000" w:themeColor="text1"/>
          <w:sz w:val="20"/>
          <w:szCs w:val="20"/>
          <w:lang w:val="en-US"/>
        </w:rPr>
        <w:t xml:space="preserve"> pertama kal</w:t>
      </w:r>
      <w:r w:rsidRPr="0041486A">
        <w:rPr>
          <w:rFonts w:ascii="Bookman Old Style" w:eastAsia="Garamond" w:hAnsi="Bookman Old Style" w:cs="Garamond"/>
          <w:color w:val="000000" w:themeColor="text1"/>
          <w:sz w:val="20"/>
          <w:szCs w:val="20"/>
          <w:lang w:val="en-US"/>
        </w:rPr>
        <w:t xml:space="preserve">i dikemukakan oleh Iwan Triyuwono pada tahun 2000. Menurut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{"citationItems":[{"id":"ITEM-1","itemData":{"author":[{"dropping-particle":"","family":"Pramono","given":"Nugroho Heri","non-dropping-particle":"","parse-names":false,"suffix":""}],"container-title":"Accounting Analysis Journal","id":"ITEM-1","issued":{"date-parts":[["2013"]]},"page":"154-162","title":"Optimalisasi Pembiayaan Berbasis Bagi Hasil pada Bank Syariah di Indonesia","type":"article-journal","volume":"2(2)"},"uris":["http://www.mendeley.com/documents/?uuid=1b36d7a9-975b-4306-ae85-fd1bcf4de1a5"]}],"mendeley":{"formattedCitation":"(Pramono, 2013)","manualFormatting":"Pramono ( 2013)","plainTextFormattedCitation":"(Pramono, 2013)","previouslyFormattedCitation":"(Pramono, 2013)"},"properties":{"noteIndex":0},"schema":"https://github.com/citation-style-language/schema/raw/master/csl-citation.json"}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Pramono ( 2013)</w:t>
      </w:r>
      <w:r w:rsidR="009B1138" w:rsidRPr="0041486A">
        <w:rPr>
          <w:rFonts w:ascii="Bookman Old Style" w:eastAsia="Garamond" w:hAnsi="Bookman Old Style" w:cs="Garamond"/>
          <w:color w:val="000000" w:themeColor="text1"/>
          <w:sz w:val="20"/>
          <w:szCs w:val="20"/>
          <w:lang w:val="en-US"/>
        </w:rPr>
        <w:fldChar w:fldCharType="end"/>
      </w:r>
      <w:r w:rsidRPr="0041486A">
        <w:rPr>
          <w:rFonts w:ascii="Bookman Old Style" w:eastAsia="Garamond" w:hAnsi="Bookman Old Style" w:cs="Garamond"/>
          <w:color w:val="000000" w:themeColor="text1"/>
          <w:sz w:val="20"/>
          <w:szCs w:val="20"/>
          <w:lang w:val="en-US"/>
        </w:rPr>
        <w:t xml:space="preserve"> konsep teori enterprise menunjukkan bahwa kekuasaan ekonomi berada pada beberapa tangan (stakeholder) tidak hanya terpaku pada satu tangan. </w:t>
      </w:r>
      <w:r w:rsidRPr="0041486A">
        <w:rPr>
          <w:rFonts w:ascii="Bookman Old Style" w:eastAsia="Garamond" w:hAnsi="Bookman Old Style" w:cs="Garamond"/>
          <w:i/>
          <w:color w:val="000000" w:themeColor="text1"/>
          <w:sz w:val="20"/>
          <w:szCs w:val="20"/>
          <w:lang w:val="en-US"/>
        </w:rPr>
        <w:t xml:space="preserve">Syariah </w:t>
      </w:r>
      <w:r w:rsidR="00A9181B" w:rsidRPr="0041486A">
        <w:rPr>
          <w:rFonts w:ascii="Bookman Old Style" w:eastAsia="Garamond" w:hAnsi="Bookman Old Style" w:cs="Garamond"/>
          <w:i/>
          <w:color w:val="000000" w:themeColor="text1"/>
          <w:sz w:val="20"/>
          <w:szCs w:val="20"/>
          <w:lang w:val="en-US"/>
        </w:rPr>
        <w:t>Enterprise Theory</w:t>
      </w:r>
      <w:r w:rsidR="00A9181B" w:rsidRPr="0041486A">
        <w:rPr>
          <w:rFonts w:ascii="Bookman Old Style" w:eastAsia="Garamond" w:hAnsi="Bookman Old Style" w:cs="Garamond"/>
          <w:color w:val="000000" w:themeColor="text1"/>
          <w:sz w:val="20"/>
          <w:szCs w:val="20"/>
          <w:lang w:val="en-US"/>
        </w:rPr>
        <w:t xml:space="preserve"> </w:t>
      </w:r>
      <w:r w:rsidRPr="0041486A">
        <w:rPr>
          <w:rFonts w:ascii="Bookman Old Style" w:eastAsia="Garamond" w:hAnsi="Bookman Old Style" w:cs="Garamond"/>
          <w:color w:val="000000" w:themeColor="text1"/>
          <w:sz w:val="20"/>
          <w:szCs w:val="20"/>
          <w:lang w:val="en-US"/>
        </w:rPr>
        <w:t xml:space="preserve">memberi bentuk pertanggungjawaban baik secara vertikal maupun horizontal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DOI":"10.1017/CBO9781107415324.004","ISBN":"9788578110796","ISSN":"1098-6596","PMID":"25246403","author":[{"dropping-particle":"","family":"Bulutoding","given":"Lince","non-dropping-particle":"","parse-names":false,"suffix":""},{"dropping-particle":"","family":"Akbar","given":"Muh. Ruslim","non-dropping-particle":"","parse-names":false,"suffix":""}],"container-title":"AL-MASHRAFIYAH: Jurnal Ekonomi, Keuangan, dan Perbankan Syariah","id":"ITEM-1","issued":{"date-parts":[["2018"]]},"page":"27-41","title":"Perbandingan Kinerja dan Pengungkapan Etika Islam pada PT Bank Muamalat dengan PT Bank BRI Syariah","type":"article-journal","volume":"2(1)"},"uris":["http://www.mendeley.com/documents/?uuid=f88d3828-a437-46a6-aaae-bf8499351581"]}],"mendeley":{"formattedCitation":"(Bulutoding &amp; Akbar, 2018)","plainTextFormattedCitation":"(Bulutoding &amp; Akbar, 2018)","previouslyFormattedCitation":"(Bulutoding &amp; Akbar, 2018)"},"properties":{"noteIndex":0},"schema":"https://github.com/citation-style-language/schema/raw/master/csl-citation.json"}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(Bulutoding &amp; Akbar, 2018)</w:t>
      </w:r>
      <w:r w:rsidR="009B1138" w:rsidRPr="0041486A">
        <w:rPr>
          <w:rFonts w:ascii="Bookman Old Style" w:eastAsia="Garamond" w:hAnsi="Bookman Old Style" w:cs="Garamond"/>
          <w:color w:val="000000" w:themeColor="text1"/>
          <w:sz w:val="20"/>
          <w:szCs w:val="20"/>
          <w:lang w:val="en-US"/>
        </w:rPr>
        <w:fldChar w:fldCharType="end"/>
      </w:r>
      <w:r w:rsidRPr="0041486A">
        <w:rPr>
          <w:rFonts w:ascii="Bookman Old Style" w:eastAsia="Garamond" w:hAnsi="Bookman Old Style" w:cs="Garamond"/>
          <w:color w:val="000000" w:themeColor="text1"/>
          <w:sz w:val="20"/>
          <w:szCs w:val="20"/>
          <w:lang w:val="en-US"/>
        </w:rPr>
        <w:t>.</w:t>
      </w:r>
      <w:r w:rsidR="002508EA" w:rsidRPr="0041486A">
        <w:rPr>
          <w:rFonts w:ascii="Bookman Old Style" w:eastAsia="Garamond" w:hAnsi="Bookman Old Style" w:cs="Garamond"/>
          <w:color w:val="000000" w:themeColor="text1"/>
          <w:sz w:val="20"/>
          <w:szCs w:val="20"/>
          <w:lang w:val="en-US"/>
        </w:rPr>
        <w:t xml:space="preserve"> </w:t>
      </w:r>
      <w:r w:rsidR="00A9181B" w:rsidRPr="0041486A">
        <w:rPr>
          <w:rFonts w:ascii="Bookman Old Style" w:eastAsia="Garamond" w:hAnsi="Bookman Old Style" w:cs="Garamond"/>
          <w:color w:val="000000" w:themeColor="text1"/>
          <w:sz w:val="20"/>
          <w:szCs w:val="20"/>
          <w:lang w:val="en-US"/>
        </w:rPr>
        <w:t xml:space="preserve">Pertanggungjawaban vertikal yang dimaksud adalah pertanggungjawaban kepada Tuhan karena pada teori ini menjelaskan bahwa aksioma terpenting yang harus mendasari dalam setiap penetapan konsepnya adalah Tuhan sebagai pencipta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{"citationItems":[{"id":"ITEM-1","itemData":{"author":[{"dropping-particle":"","family":"Pramono","given":"Nugroho Heri","non-dropping-particle":"","parse-names":false,"suffix":""}],"container-title":"Accounting Analysis Journal","id":"ITEM-1","issued":{"date-parts":[["2013"]]},"page":"154-162","title":"Optimalisasi Pembiayaan Berbasis Bagi Hasil pada Bank Syariah di Indonesia","type":"article-journal","volume":"2(2)"},"uris":["http://www.mendeley.com/documents/?uuid=1b36d7a9-975b-4306-ae85-fd1bcf4de1a5"]}],"mendeley":{"formattedCitation":"(Pramono, 2013)","plainTextFormattedCitation":"(Pramono, 2013)","previouslyFormattedCitation":"(Pramono, 2013)"},"properties":{"noteIndex":0},"schema":"https://github.com/citation-style-language/schema/raw/master/csl-citation.json"}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(Pramono, 2013)</w:t>
      </w:r>
      <w:r w:rsidR="009B1138" w:rsidRPr="0041486A">
        <w:rPr>
          <w:rFonts w:ascii="Bookman Old Style" w:eastAsia="Garamond" w:hAnsi="Bookman Old Style" w:cs="Garamond"/>
          <w:color w:val="000000" w:themeColor="text1"/>
          <w:sz w:val="20"/>
          <w:szCs w:val="20"/>
          <w:lang w:val="en-US"/>
        </w:rPr>
        <w:fldChar w:fldCharType="end"/>
      </w:r>
      <w:r w:rsidR="00A9181B" w:rsidRPr="0041486A">
        <w:rPr>
          <w:rFonts w:ascii="Bookman Old Style" w:eastAsia="Garamond" w:hAnsi="Bookman Old Style" w:cs="Garamond"/>
          <w:color w:val="000000" w:themeColor="text1"/>
          <w:sz w:val="20"/>
          <w:szCs w:val="20"/>
          <w:lang w:val="en-US"/>
        </w:rPr>
        <w:t xml:space="preserve">. Adapun pertanggungjawaban horizontal, pertanggungjawaban horizontal mencakup pertanggungjawaban kepada manusia maupun alam. Dalam teori ini menyajikan laporan nilai tambah yang berguna untuk memberikan informasi.  </w:t>
      </w:r>
      <w:r w:rsidR="002508EA" w:rsidRPr="0041486A">
        <w:rPr>
          <w:rFonts w:ascii="Bookman Old Style" w:eastAsia="Garamond" w:hAnsi="Bookman Old Style" w:cs="Garamond"/>
          <w:color w:val="000000" w:themeColor="text1"/>
          <w:sz w:val="20"/>
          <w:szCs w:val="20"/>
          <w:lang w:val="en-US"/>
        </w:rPr>
        <w:t xml:space="preserve">Syariah enterprise theory ini menjelaskan bahwa kesejahteraan tidak hanya diperuntukkan oleh pemilik modal. Dengan demikian, pemilik modal maupun pengelola modal harus saling menjaga amanah dengan mengingat bahwa segala tindakan akan diminta pertanggungjawabannya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DOI":"10.1017/CBO9781107415324.004","ISBN":"9788578110796","ISSN":"1098-6596","PMID":"25246403","author":[{"dropping-particle":"","family":"Bulutoding","given":"Lince","non-dropping-particle":"","parse-names":false,"suffix":""},{"dropping-particle":"","family":"Umar","given":"Islailia","non-dropping-particle":"","parse-names":false,"suffix":""}],"container-title":"ASSETS","id":"ITEM-1","issued":{"date-parts":[["2016"]]},"page":"221-232","title":"Kajian Kaffah Thinking Roduk Sukuk dalam Meningkatkan Pendanaan pada PT Bank SulSelBar Syariah Makassar","type":"article-journal","volume":"6(2)"},"uris":["http://www.mendeley.com/documents/?uuid=2d12b38e-602d-468c-8603-169e1f4a4e51"]}],"mendeley":{"formattedCitation":"(Bulutoding &amp; Umar, 2016)","plainTextFormattedCitation":"(Bulutoding &amp; Umar, 2016)","previouslyFormattedCitation":"(Bulutoding &amp; Umar, 2016)"},"properties":{"noteIndex":0},"schema":"https://github.com/citation-style-language/schema/raw/master/csl-citation.json"}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(Bulutoding &amp; Umar, 2016)</w:t>
      </w:r>
      <w:r w:rsidR="009B1138" w:rsidRPr="0041486A">
        <w:rPr>
          <w:rFonts w:ascii="Bookman Old Style" w:eastAsia="Garamond" w:hAnsi="Bookman Old Style" w:cs="Garamond"/>
          <w:color w:val="000000" w:themeColor="text1"/>
          <w:sz w:val="20"/>
          <w:szCs w:val="20"/>
          <w:lang w:val="en-US"/>
        </w:rPr>
        <w:fldChar w:fldCharType="end"/>
      </w:r>
      <w:r w:rsidR="009B1138" w:rsidRPr="0041486A">
        <w:rPr>
          <w:rFonts w:ascii="Bookman Old Style" w:eastAsia="Garamond" w:hAnsi="Bookman Old Style" w:cs="Garamond"/>
          <w:color w:val="000000" w:themeColor="text1"/>
          <w:sz w:val="20"/>
          <w:szCs w:val="20"/>
          <w:lang w:val="en-US"/>
        </w:rPr>
        <w:t>.</w:t>
      </w:r>
      <w:r w:rsidR="002508EA" w:rsidRPr="0041486A">
        <w:rPr>
          <w:rFonts w:ascii="Bookman Old Style" w:eastAsia="Garamond" w:hAnsi="Bookman Old Style" w:cs="Garamond"/>
          <w:color w:val="000000" w:themeColor="text1"/>
          <w:sz w:val="20"/>
          <w:szCs w:val="20"/>
          <w:lang w:val="en-US"/>
        </w:rPr>
        <w:t xml:space="preserve"> </w:t>
      </w:r>
    </w:p>
    <w:p w14:paraId="23D88C9F" w14:textId="0501F9C4" w:rsidR="00A9181B" w:rsidRPr="0041486A" w:rsidRDefault="002508EA" w:rsidP="00B23860">
      <w:pPr>
        <w:spacing w:after="0" w:line="240" w:lineRule="auto"/>
        <w:ind w:firstLine="567"/>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Konsep wakaf</w:t>
      </w:r>
      <w:r w:rsidR="006861A4" w:rsidRPr="0041486A">
        <w:rPr>
          <w:rFonts w:ascii="Bookman Old Style" w:eastAsia="Garamond" w:hAnsi="Bookman Old Style" w:cs="Garamond"/>
          <w:color w:val="000000" w:themeColor="text1"/>
          <w:sz w:val="20"/>
          <w:szCs w:val="20"/>
          <w:lang w:val="en-US"/>
        </w:rPr>
        <w:t xml:space="preserve"> dalam tujuan pemberdayaan ditandai dengan pola manajemen wakaf yang terintegrasi, asas kesejahteraan nadzhir, asas transformasi, dan tanggungjawab. Menurut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{"citationItems":[{"id":"ITEM-1","itemData":{"abstract":"Wakaf telah disyariatkan dan telah dipraktikan oleh umat Islam seluruh dunia sejak zaman Nabi Muhammad SAW sampai sekarang, termasuk oleh masyarakat Islam di Negara Indonesia. Karenanya perwakafan merupakan salah satu masalah yang penting dalam rangka hubungan antara hukum Islam dengan hukum Nasional. Wakaf dilakukan untuk suatu tujuan tertentu yang ditetapkan oleh wakif dalam ikrar wakaf. Dengan demikian, dalam rangka optimalisasi pemberdayaan benda wakaf secara produktif masih perlu banyak evaluasi dan memaksimalkan sosialisasi kepada masyarakat oleh pihak yang berwenang terkait dengan pengelolaan dan pengembangan benda wakaf secara produktif.","author":[{"dropping-particle":"","family":"Munir","given":"Akhmad Sirojuddin","non-dropping-particle":"","parse-names":false,"suffix":""}],"container-title":"Ummul Quro","id":"ITEM-1","issued":{"date-parts":[["2015"]]},"page":"94-109","title":"Optimalisasi Pemberdayaan Wakaf Secara Produktif","type":"article-journal","volume":"6(2)"},"uris":["http://www.mendeley.com/documents/?uuid=6fca038c-e213-46ad-805e-5028bc794aa9"]}],"mendeley":{"formattedCitation":"(A. S. Munir, 2015)","manualFormatting":"Munir (2015)","plainTextFormattedCitation":"(A. S. Munir, 2015)","previouslyFormattedCitation":"(A. S. Munir, 2015)"},"properties":{"noteIndex":0},"schema":"https://github.com/citation-style-language/schema/raw/master/csl-citation.json"}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Munir (2015)</w:t>
      </w:r>
      <w:r w:rsidR="009B1138" w:rsidRPr="0041486A">
        <w:rPr>
          <w:rFonts w:ascii="Bookman Old Style" w:eastAsia="Garamond" w:hAnsi="Bookman Old Style" w:cs="Garamond"/>
          <w:color w:val="000000" w:themeColor="text1"/>
          <w:sz w:val="20"/>
          <w:szCs w:val="20"/>
          <w:lang w:val="en-US"/>
        </w:rPr>
        <w:fldChar w:fldCharType="end"/>
      </w:r>
      <w:r w:rsidR="006861A4" w:rsidRPr="0041486A">
        <w:rPr>
          <w:rFonts w:ascii="Bookman Old Style" w:eastAsia="Garamond" w:hAnsi="Bookman Old Style" w:cs="Garamond"/>
          <w:color w:val="000000" w:themeColor="text1"/>
          <w:sz w:val="20"/>
          <w:szCs w:val="20"/>
          <w:lang w:val="en-US"/>
        </w:rPr>
        <w:t xml:space="preserve"> wakaf adalah perbuatan hukum seseorang, sekelompok orang atau badan hukum yang memisahkan sebagian dari benda miliknya dan melembagakannya untuk selama-lamanya guna kepentingan ibadah atau keperluan umum lainnya sesuai ajaran Islam. Sedangkan dalam UU no. 41 tahun 2004 teantang perwakafan (pasal1 angka 1) bahwa wakaf didefinisikan sebagai perbuatan hukum wakaf yang memisahkan atau menyerahkan sebagian harta miliknya untuk dimanfaatkan selamanya atau kesejahteraan umum menurut syariah. Seiring berjalannya waktu, wakaf telah mengalami perbedaan paradigma terutama dalam hal pengelolaan wakaf yang ditujukan sebagai instrumen dalam upaya menyejahterakan masyarakat muslim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uthor":[{"dropping-particle":"","family":"Wulandari","given":"Shinta","non-dropping-particle":"","parse-names":false,"suffix":""},{"dropping-particle":"","family":"Effendi","given":"Jaenal","non-dropping-particle":"","parse-names":false,"suffix":""},{"dropping-particle":"","family":"Saptono","given":"Imam Teguh","non-dropping-particle":"","parse-names":false,"suffix":""}],"container-title":"jurnal aplikasi manajemen dan bisnis","id":"ITEM-1","issued":{"date-parts":[["2019"]]},"page":"295-307","title":"Pemilihan Nazhir dalam Optimalisasi Pengelolaan Wakaf Uang","type":"article-journal","volume":"5(2)"},"uris":["http://www.mendeley.com/documents/?uuid=0a381dae-a091-4f5c-86c2-7b1bbe0d70a4"]}],"mendeley":{"formattedCitation":"(Wulandari et al., 2019)","plainTextFormattedCitation":"(Wulandari et al., 2019)","previouslyFormattedCitation":"(Wulandari et al., 2019)"},"properties":{"noteIndex":0},"schema":"https://github.com/citation-style-language/schema/raw/master/csl-citation.json"}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 xml:space="preserve">(Wulandari </w:t>
      </w:r>
      <w:r w:rsidR="009B1138" w:rsidRPr="0041486A">
        <w:rPr>
          <w:rFonts w:ascii="Bookman Old Style" w:eastAsia="Garamond" w:hAnsi="Bookman Old Style" w:cs="Garamond"/>
          <w:i/>
          <w:color w:val="000000" w:themeColor="text1"/>
          <w:sz w:val="20"/>
          <w:szCs w:val="20"/>
          <w:lang w:val="en-US"/>
        </w:rPr>
        <w:t>et al</w:t>
      </w:r>
      <w:r w:rsidR="009B1138" w:rsidRPr="0041486A">
        <w:rPr>
          <w:rFonts w:ascii="Bookman Old Style" w:eastAsia="Garamond" w:hAnsi="Bookman Old Style" w:cs="Garamond"/>
          <w:color w:val="000000" w:themeColor="text1"/>
          <w:sz w:val="20"/>
          <w:szCs w:val="20"/>
          <w:lang w:val="en-US"/>
        </w:rPr>
        <w:t>., 2019)</w:t>
      </w:r>
      <w:r w:rsidR="009B1138" w:rsidRPr="0041486A">
        <w:rPr>
          <w:rFonts w:ascii="Bookman Old Style" w:eastAsia="Garamond" w:hAnsi="Bookman Old Style" w:cs="Garamond"/>
          <w:color w:val="000000" w:themeColor="text1"/>
          <w:sz w:val="20"/>
          <w:szCs w:val="20"/>
          <w:lang w:val="en-US"/>
        </w:rPr>
        <w:fldChar w:fldCharType="end"/>
      </w:r>
      <w:r w:rsidR="006861A4" w:rsidRPr="0041486A">
        <w:rPr>
          <w:rFonts w:ascii="Bookman Old Style" w:eastAsia="Garamond" w:hAnsi="Bookman Old Style" w:cs="Garamond"/>
          <w:color w:val="000000" w:themeColor="text1"/>
          <w:sz w:val="20"/>
          <w:szCs w:val="20"/>
          <w:lang w:val="en-US"/>
        </w:rPr>
        <w:t>.</w:t>
      </w:r>
    </w:p>
    <w:p w14:paraId="2F3C3C97" w14:textId="66A679CC" w:rsidR="00D50321" w:rsidRPr="0041486A" w:rsidRDefault="002508EA" w:rsidP="00D50321">
      <w:pPr>
        <w:spacing w:after="0" w:line="240" w:lineRule="auto"/>
        <w:ind w:firstLine="567"/>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Akuntansi syariah</w:t>
      </w:r>
      <w:r w:rsidR="004563AF" w:rsidRPr="0041486A">
        <w:rPr>
          <w:rFonts w:ascii="Bookman Old Style" w:eastAsia="Garamond" w:hAnsi="Bookman Old Style" w:cs="Garamond"/>
          <w:color w:val="000000" w:themeColor="text1"/>
          <w:sz w:val="20"/>
          <w:szCs w:val="20"/>
          <w:lang w:val="en-US"/>
        </w:rPr>
        <w:t xml:space="preserve"> dalam buku A </w:t>
      </w:r>
      <w:r w:rsidR="00150CDC" w:rsidRPr="0041486A">
        <w:rPr>
          <w:rFonts w:ascii="Bookman Old Style" w:eastAsia="Garamond" w:hAnsi="Bookman Old Style" w:cs="Garamond"/>
          <w:color w:val="000000" w:themeColor="text1"/>
          <w:sz w:val="20"/>
          <w:szCs w:val="20"/>
          <w:lang w:val="en-US"/>
        </w:rPr>
        <w:t>S</w:t>
      </w:r>
      <w:r w:rsidR="004563AF" w:rsidRPr="0041486A">
        <w:rPr>
          <w:rFonts w:ascii="Bookman Old Style" w:eastAsia="Garamond" w:hAnsi="Bookman Old Style" w:cs="Garamond"/>
          <w:color w:val="000000" w:themeColor="text1"/>
          <w:sz w:val="20"/>
          <w:szCs w:val="20"/>
          <w:lang w:val="en-US"/>
        </w:rPr>
        <w:t xml:space="preserve">tatement of basic Accounting Theory (ASOBAT) Akuntansi diartikan sebagai proses mengidentifikasikan, mengukur, dan menyampaikan infomasi sebagai bahan informasi dalam hal mempertimbangkan berbagai alternatif dalam mengambil kesimpulan para pemakainya, umumnya dalam ukuran uang mengenai suatu badan ekonomi yang dimaksudkan untuk digunakan dalam pengambilan keputusan ekonomi untuk memilih diantara beberapa alternatif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{"citationItems":[{"id":"ITEM-1","itemData":{"author":[{"dropping-particle":"","family":"Kristianto","given":"Djoko","non-dropping-particle":"","parse-names":false,"suffix":""}],"container-title":"Jurnal Akuntansi dan Sistem Teknologi Informasi","id":"ITEM-1","issued":{"date-parts":[["2012"]]},"page":"61-68","title":"Implikasi Akuntansi Syariah dan Asuransi Syariah dalam Lembaga Keuangan Syariah","type":"article-journal","volume":"7(1)"},"uris":["http://www.mendeley.com/documents/?uuid=f06063aa-8edb-4b62-9002-c96adc98ba35"]}],"mendeley":{"formattedCitation":"(Kristianto, 2012)","plainTextFormattedCitation":"(Kristianto, 2012)","previouslyFormattedCitation":"(Kristianto, 2012)"},"properties":{"noteIndex":0},"schema":"https://github.com/citation-style-language/schema/raw/master/csl-citation.json"}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(Kristianto, 2012)</w:t>
      </w:r>
      <w:r w:rsidR="009B1138" w:rsidRPr="0041486A">
        <w:rPr>
          <w:rFonts w:ascii="Bookman Old Style" w:eastAsia="Garamond" w:hAnsi="Bookman Old Style" w:cs="Garamond"/>
          <w:color w:val="000000" w:themeColor="text1"/>
          <w:sz w:val="20"/>
          <w:szCs w:val="20"/>
          <w:lang w:val="en-US"/>
        </w:rPr>
        <w:fldChar w:fldCharType="end"/>
      </w:r>
      <w:r w:rsidR="004563AF" w:rsidRPr="0041486A">
        <w:rPr>
          <w:rFonts w:ascii="Bookman Old Style" w:eastAsia="Garamond" w:hAnsi="Bookman Old Style" w:cs="Garamond"/>
          <w:color w:val="000000" w:themeColor="text1"/>
          <w:sz w:val="20"/>
          <w:szCs w:val="20"/>
          <w:lang w:val="en-US"/>
        </w:rPr>
        <w:t>. Akuntansi syariah merupakan akuntansi berdasar prinsip-prinsip syariah yang esensi dasarnya merupakan sebuah upaya untuk mengdekontruksi akuntansi modern kedalam bentuk yang humanis dan syarat nilai oleh karena itu untuk mencari bentuk akuntansi yang berwajah humanis, emansipatoris, transendental, dan teologikal merupa</w:t>
      </w:r>
      <w:r w:rsidR="00150CDC" w:rsidRPr="0041486A">
        <w:rPr>
          <w:rFonts w:ascii="Bookman Old Style" w:eastAsia="Garamond" w:hAnsi="Bookman Old Style" w:cs="Garamond"/>
          <w:color w:val="000000" w:themeColor="text1"/>
          <w:sz w:val="20"/>
          <w:szCs w:val="20"/>
          <w:lang w:val="en-US"/>
        </w:rPr>
        <w:t>kan upaya yang niscaya</w:t>
      </w:r>
      <w:r w:rsidR="004563AF" w:rsidRPr="0041486A">
        <w:rPr>
          <w:rFonts w:ascii="Bookman Old Style" w:eastAsia="Garamond" w:hAnsi="Bookman Old Style" w:cs="Garamond"/>
          <w:color w:val="000000" w:themeColor="text1"/>
          <w:sz w:val="20"/>
          <w:szCs w:val="20"/>
          <w:lang w:val="en-US"/>
        </w:rPr>
        <w:t xml:space="preserve">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{"citationItems":[{"id":"ITEM-1","itemData":{"author":[{"dropping-particle":"","family":"Kristianto","given":"Djoko","non-dropping-particle":"","parse-names":false,"suffix":""}],"container-title":"Jurnal Akuntansi dan Sistem Teknologi Informasi","id":"ITEM-1","issued":{"date-parts":[["2012"]]},"page":"61-68","title":"Implikasi Akuntansi Syariah dan Asuransi Syariah dalam Lembaga Keuangan Syariah","type":"article-journal","volume":"7(1)"},"uris":["http://www.mendeley.com/documents/?uuid=f06063aa-8edb-4b62-9002-c96adc98ba35"]}],"mendeley":{"formattedCitation":"(Kristianto, 2012)","plainTextFormattedCitation":"(Kristianto, 2012)","previouslyFormattedCitation":"(Kristianto, 2012)"},"properties":{"noteIndex":0},"schema":"https://github.com/citation-style-language/schema/raw/master/csl-citation.json"}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(Kristianto, 2012)</w:t>
      </w:r>
      <w:r w:rsidR="009B1138" w:rsidRPr="0041486A">
        <w:rPr>
          <w:rFonts w:ascii="Bookman Old Style" w:eastAsia="Garamond" w:hAnsi="Bookman Old Style" w:cs="Garamond"/>
          <w:color w:val="000000" w:themeColor="text1"/>
          <w:sz w:val="20"/>
          <w:szCs w:val="20"/>
          <w:lang w:val="en-US"/>
        </w:rPr>
        <w:fldChar w:fldCharType="end"/>
      </w:r>
      <w:r w:rsidR="004563AF" w:rsidRPr="0041486A">
        <w:rPr>
          <w:rFonts w:ascii="Bookman Old Style" w:eastAsia="Garamond" w:hAnsi="Bookman Old Style" w:cs="Garamond"/>
          <w:color w:val="000000" w:themeColor="text1"/>
          <w:sz w:val="20"/>
          <w:szCs w:val="20"/>
          <w:lang w:val="en-US"/>
        </w:rPr>
        <w:t xml:space="preserve">. Tujuan akuntansi keuangan syariah menentukan hak dan kewajiban pihak terkait termasuk hak dan kewajiban yang berasal </w:t>
      </w:r>
      <w:r w:rsidR="004563AF" w:rsidRPr="0041486A">
        <w:rPr>
          <w:rFonts w:ascii="Bookman Old Style" w:eastAsia="Garamond" w:hAnsi="Bookman Old Style" w:cs="Garamond"/>
          <w:color w:val="000000" w:themeColor="text1"/>
          <w:sz w:val="20"/>
          <w:szCs w:val="20"/>
          <w:lang w:val="en-US"/>
        </w:rPr>
        <w:lastRenderedPageBreak/>
        <w:t xml:space="preserve">dari transaksi yang belum selesai dan kegiatan ekonomi lain, sesuai dengan prinsip-prinsip syariah yang berdasarkan konsep kejujuran, keadilan, kebijakan, dan kepatuhan terhadap nilai-nilai bisnis islami, menyediakan informasi keuangan yang bermanfaat bagi pemakai laporan untuk mengambil keputusan. Prinsip umum akuntasi syariah sendiri terdiri dari prinsip pertanggung jawaban, prinsip keadilan, </w:t>
      </w:r>
      <w:r w:rsidR="00150CDC" w:rsidRPr="0041486A">
        <w:rPr>
          <w:rFonts w:ascii="Bookman Old Style" w:eastAsia="Garamond" w:hAnsi="Bookman Old Style" w:cs="Garamond"/>
          <w:color w:val="000000" w:themeColor="text1"/>
          <w:sz w:val="20"/>
          <w:szCs w:val="20"/>
          <w:lang w:val="en-US"/>
        </w:rPr>
        <w:t xml:space="preserve">dan prinsip kebenaran yang selalu melekat dalam sistem akuntansi syariah </w:t>
      </w:r>
      <w:r w:rsidR="009B1138" w:rsidRPr="0041486A">
        <w:rPr>
          <w:rFonts w:ascii="Bookman Old Style" w:eastAsia="Garamond" w:hAnsi="Bookman Old Style" w:cs="Garamond"/>
          <w:color w:val="000000" w:themeColor="text1"/>
          <w:sz w:val="20"/>
          <w:szCs w:val="20"/>
          <w:lang w:val="en-US"/>
        </w:rPr>
        <w:fldChar w:fldCharType="begin" w:fldLock="1"/>
      </w:r>
      <w:r w:rsidR="009B1138" w:rsidRPr="0041486A">
        <w:rPr>
          <w:rFonts w:ascii="Bookman Old Style" w:eastAsia="Garamond" w:hAnsi="Bookman Old Style" w:cs="Garamond"/>
          <w:color w:val="000000" w:themeColor="text1"/>
          <w:sz w:val="20"/>
          <w:szCs w:val="20"/>
          <w:lang w:val="en-US"/>
        </w:rPr>
        <w:instrText>ADDIN CSL_CITATION {"citationItems":[{"id":"ITEM-1","itemData":{"abstract":"In Indonesia, the most populer contract used by Islamic bank is murabah}ah} contract, which is very close to the debt based financing. Many researchers argue that, this phenomenon is due to the risk faced by Islamic bank particularly related to the moral hazard by mud}a&gt;rib. This paper aims to explore the lack of musha&gt;rakah and mud}a&gt;rabah contract in perspective of agency problems theory. The important issue in this paper is whether agency problem also underlies between customer as an agent and Islamic bank as a principal in financing contract. By employing holistic paradigm, namely by combining Islamic value and conventional theory, this study find two conclusion. First, agency problem in the scheme of Islamic banking products is due to the asymmetric information between agent and principal. Strict procedures and higher criteria cause mud}a&gt;rabah amount of financing contract of Islamic bank can not reach it optimum level. Second, agency problems which is happen in Islamic bank can be solve by optimizing the profit sharing ratio aimed to know the customer characters. Optimal sharing ratio can press the moral hazard problem, since the customer should be able to run his business with a maximum level of effort and be able to maximize the revenue generated to match the expectations of the bank and the customer. If the profit-sharing scheme is not optimal, it will lead bank suspicion, thus, banks will increase their control that it will directly have an impact on the rising of cost of monitoring and verification. Di","author":[{"dropping-particle":"","family":"Ardiansyah","given":"Misnen","non-dropping-particle":"","parse-names":false,"suffix":""}],"container-title":"Ijtihad","id":"ITEM-1","issued":{"date-parts":[["2014"]]},"page":"251-269","title":"Bayang-Bayang Teori Keagenan pada Produk Pembiayaan Perbankan Syariah [The Shadows of Agency Theory on Islamic Banking Financing Products]","type":"article-journal","volume":"14(2)"},"uris":["http://www.mendeley.com/documents/?uuid=63ceaa38-64eb-4ac4-9b29-2a80be508f57"]}],"mendeley":{"formattedCitation":"(Ardiansyah, 2014)","plainTextFormattedCitation":"(Ardiansyah, 2014)","previouslyFormattedCitation":"(Ardiansyah, 2014)"},"properties":{"noteIndex":0},"schema":"https://github.com/citation-style-language/schema/raw/master/csl-citation.json"}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eastAsia="Garamond" w:hAnsi="Bookman Old Style" w:cs="Garamond"/>
          <w:color w:val="000000" w:themeColor="text1"/>
          <w:sz w:val="20"/>
          <w:szCs w:val="20"/>
          <w:lang w:val="en-US"/>
        </w:rPr>
        <w:t>(Ardiansyah, 2014)</w:t>
      </w:r>
      <w:r w:rsidR="009B1138" w:rsidRPr="0041486A">
        <w:rPr>
          <w:rFonts w:ascii="Bookman Old Style" w:eastAsia="Garamond" w:hAnsi="Bookman Old Style" w:cs="Garamond"/>
          <w:color w:val="000000" w:themeColor="text1"/>
          <w:sz w:val="20"/>
          <w:szCs w:val="20"/>
          <w:lang w:val="en-US"/>
        </w:rPr>
        <w:fldChar w:fldCharType="end"/>
      </w:r>
      <w:r w:rsidR="00150CDC" w:rsidRPr="0041486A">
        <w:rPr>
          <w:rFonts w:ascii="Bookman Old Style" w:eastAsia="Garamond" w:hAnsi="Bookman Old Style" w:cs="Garamond"/>
          <w:color w:val="000000" w:themeColor="text1"/>
          <w:sz w:val="20"/>
          <w:szCs w:val="20"/>
          <w:lang w:val="en-US"/>
        </w:rPr>
        <w:t xml:space="preserve">. </w:t>
      </w:r>
      <w:r w:rsidR="00D50321" w:rsidRPr="0041486A">
        <w:rPr>
          <w:rFonts w:ascii="Bookman Old Style" w:eastAsia="Garamond" w:hAnsi="Bookman Old Style" w:cs="Garamond"/>
          <w:color w:val="000000" w:themeColor="text1"/>
          <w:sz w:val="20"/>
          <w:szCs w:val="20"/>
          <w:lang w:val="en-US"/>
        </w:rPr>
        <w:tab/>
      </w:r>
      <w:r w:rsidRPr="0041486A">
        <w:rPr>
          <w:rFonts w:ascii="Bookman Old Style" w:eastAsia="Garamond" w:hAnsi="Bookman Old Style" w:cs="Garamond"/>
          <w:color w:val="000000" w:themeColor="text1"/>
          <w:sz w:val="20"/>
          <w:szCs w:val="20"/>
          <w:lang w:val="en-US"/>
        </w:rPr>
        <w:t xml:space="preserve">Wakaf menurut </w:t>
      </w:r>
      <w:r w:rsidR="00D50321" w:rsidRPr="0041486A">
        <w:rPr>
          <w:rFonts w:ascii="Bookman Old Style" w:hAnsi="Bookman Old Style" w:cstheme="majorBidi"/>
          <w:color w:val="000000" w:themeColor="text1"/>
          <w:sz w:val="20"/>
          <w:szCs w:val="20"/>
        </w:rPr>
        <w:t>Peraturan pemerintah Nomor 42 tahun 2006 tentang pelaksanaan Undang-Undang Nomor 41 tahun 2004 tentang Wakaf. Untuk melaksanakan ketentuan pasal 14, pasal 21, pasal 31, pasal 39, pasal 41, pasal 46, pasal 56, dan pasal 58 Undang-Undang nomor 41 tahun 2004 tentang Wakaf.</w:t>
      </w:r>
    </w:p>
    <w:p w14:paraId="34ED3C81" w14:textId="77777777" w:rsidR="00D50321" w:rsidRPr="0041486A" w:rsidRDefault="00D50321" w:rsidP="00D50321">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b/>
        <w:t>Pasal 14:</w:t>
      </w:r>
    </w:p>
    <w:p w14:paraId="0C36FDED" w14:textId="77777777" w:rsidR="00D50321" w:rsidRPr="0041486A" w:rsidRDefault="00D50321" w:rsidP="00D50321">
      <w:pPr>
        <w:pStyle w:val="ListParagraph"/>
        <w:numPr>
          <w:ilvl w:val="0"/>
          <w:numId w:val="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Masa bakti Nazhir adalah 5 tahun clan dan dapat diangkat kembali</w:t>
      </w:r>
    </w:p>
    <w:p w14:paraId="34B83781" w14:textId="77777777" w:rsidR="00D50321" w:rsidRPr="0041486A" w:rsidRDefault="00D50321" w:rsidP="00D50321">
      <w:pPr>
        <w:pStyle w:val="ListParagraph"/>
        <w:numPr>
          <w:ilvl w:val="0"/>
          <w:numId w:val="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Pengangkatan kembali Nazhir sebagaimana yang dimaksudkan pada ayat (1) dilakukan oleh BWI, apabila yang bersangkutan telah melaksanakan tugasnya dengan baik dalam periode sebelumnya sesuai ketentuan prinsip syariah dan Peraturan Perundang-Undangan.</w:t>
      </w:r>
    </w:p>
    <w:p w14:paraId="1A361181" w14:textId="77777777" w:rsidR="00D50321" w:rsidRPr="0041486A" w:rsidRDefault="00D50321" w:rsidP="00D50321">
      <w:pPr>
        <w:spacing w:after="0" w:line="240" w:lineRule="auto"/>
        <w:ind w:left="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21:</w:t>
      </w:r>
    </w:p>
    <w:p w14:paraId="274A39D6" w14:textId="77777777" w:rsidR="00D50321" w:rsidRPr="0041486A" w:rsidRDefault="00D50321" w:rsidP="00D50321">
      <w:pPr>
        <w:spacing w:after="0" w:line="240" w:lineRule="auto"/>
        <w:ind w:left="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Benda bergerak selain uang karena Peraturan Perundang-Undangan yang dapat diwakafkan sepanjang tidak bertentangan dengan prinsip syariah sebagai berikut:</w:t>
      </w:r>
    </w:p>
    <w:p w14:paraId="65999484" w14:textId="77777777" w:rsidR="00D50321" w:rsidRPr="0041486A" w:rsidRDefault="00D50321" w:rsidP="00D50321">
      <w:pPr>
        <w:pStyle w:val="ListParagraph"/>
        <w:numPr>
          <w:ilvl w:val="0"/>
          <w:numId w:val="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Surat berharga yang berupa:</w:t>
      </w:r>
    </w:p>
    <w:p w14:paraId="4FE37A9F" w14:textId="77777777" w:rsidR="00D50321" w:rsidRPr="0041486A" w:rsidRDefault="00D50321" w:rsidP="00D50321">
      <w:pPr>
        <w:pStyle w:val="ListParagraph"/>
        <w:numPr>
          <w:ilvl w:val="0"/>
          <w:numId w:val="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Saham</w:t>
      </w:r>
    </w:p>
    <w:p w14:paraId="64E40A77" w14:textId="77777777" w:rsidR="00D50321" w:rsidRPr="0041486A" w:rsidRDefault="00D50321" w:rsidP="00D50321">
      <w:pPr>
        <w:pStyle w:val="ListParagraph"/>
        <w:numPr>
          <w:ilvl w:val="0"/>
          <w:numId w:val="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Surat Utang Negara</w:t>
      </w:r>
    </w:p>
    <w:p w14:paraId="1B7255DE" w14:textId="77777777" w:rsidR="00D50321" w:rsidRPr="0041486A" w:rsidRDefault="00D50321" w:rsidP="00D50321">
      <w:pPr>
        <w:pStyle w:val="ListParagraph"/>
        <w:numPr>
          <w:ilvl w:val="0"/>
          <w:numId w:val="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Obligasi pada umumnya; dan/atau</w:t>
      </w:r>
    </w:p>
    <w:p w14:paraId="0C54E8F0" w14:textId="77777777" w:rsidR="00D50321" w:rsidRPr="0041486A" w:rsidRDefault="00D50321" w:rsidP="00D50321">
      <w:pPr>
        <w:pStyle w:val="ListParagraph"/>
        <w:numPr>
          <w:ilvl w:val="0"/>
          <w:numId w:val="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Surat berharga lainnya yang dapat dinilai dengan uang.</w:t>
      </w:r>
    </w:p>
    <w:p w14:paraId="3078F703" w14:textId="77777777" w:rsidR="00D50321" w:rsidRPr="0041486A" w:rsidRDefault="00D50321" w:rsidP="00D50321">
      <w:pPr>
        <w:pStyle w:val="ListParagraph"/>
        <w:numPr>
          <w:ilvl w:val="0"/>
          <w:numId w:val="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atas kekayaan Intelektual yang berupa:</w:t>
      </w:r>
    </w:p>
    <w:p w14:paraId="2BA8EDEE"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Cipta</w:t>
      </w:r>
    </w:p>
    <w:p w14:paraId="0ABC9403"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merk</w:t>
      </w:r>
    </w:p>
    <w:p w14:paraId="7F86F4AD"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paten</w:t>
      </w:r>
    </w:p>
    <w:p w14:paraId="77659CE3"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desain industri</w:t>
      </w:r>
    </w:p>
    <w:p w14:paraId="10409D0A"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rahasia dagang</w:t>
      </w:r>
    </w:p>
    <w:p w14:paraId="19D543C1"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sirkuit terpadu</w:t>
      </w:r>
    </w:p>
    <w:p w14:paraId="259502A8"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perlindungan varietas tanaman; dan/atau</w:t>
      </w:r>
    </w:p>
    <w:p w14:paraId="60939BB4" w14:textId="77777777" w:rsidR="00D50321" w:rsidRPr="0041486A" w:rsidRDefault="00D50321" w:rsidP="00D50321">
      <w:pPr>
        <w:pStyle w:val="ListParagraph"/>
        <w:numPr>
          <w:ilvl w:val="0"/>
          <w:numId w:val="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lainnya</w:t>
      </w:r>
    </w:p>
    <w:p w14:paraId="19C93CD5" w14:textId="77777777" w:rsidR="00D50321" w:rsidRPr="0041486A" w:rsidRDefault="00D50321" w:rsidP="00D50321">
      <w:pPr>
        <w:pStyle w:val="ListParagraph"/>
        <w:numPr>
          <w:ilvl w:val="0"/>
          <w:numId w:val="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atas Benda Bergerak lainnya yang berupa:</w:t>
      </w:r>
    </w:p>
    <w:p w14:paraId="582F7532" w14:textId="77777777" w:rsidR="00D50321" w:rsidRPr="0041486A" w:rsidRDefault="00D50321" w:rsidP="00D50321">
      <w:pPr>
        <w:pStyle w:val="ListParagraph"/>
        <w:numPr>
          <w:ilvl w:val="0"/>
          <w:numId w:val="9"/>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Hak sewa, hak pakai dan hak pakai hasil atas benda bergerak; atau</w:t>
      </w:r>
    </w:p>
    <w:p w14:paraId="2FAFD363" w14:textId="77777777" w:rsidR="00D50321" w:rsidRPr="0041486A" w:rsidRDefault="00D50321" w:rsidP="00D50321">
      <w:pPr>
        <w:pStyle w:val="ListParagraph"/>
        <w:numPr>
          <w:ilvl w:val="0"/>
          <w:numId w:val="9"/>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Perikatan, tuntutan atas jumlah uang yang dapat ditagih atas benda bergerak.</w:t>
      </w:r>
    </w:p>
    <w:p w14:paraId="074D36BD" w14:textId="77777777" w:rsidR="00D50321" w:rsidRPr="0041486A" w:rsidRDefault="00D50321" w:rsidP="00D50321">
      <w:pPr>
        <w:spacing w:after="0" w:line="240" w:lineRule="auto"/>
        <w:ind w:firstLine="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31:</w:t>
      </w:r>
    </w:p>
    <w:p w14:paraId="3839A5DC" w14:textId="77777777" w:rsidR="00D50321" w:rsidRPr="0041486A" w:rsidRDefault="00D50321" w:rsidP="00D50321">
      <w:pPr>
        <w:spacing w:after="0" w:line="240" w:lineRule="auto"/>
        <w:ind w:firstLine="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hal perbuatan wakaf belum dituangkan dalam AIW sedangkan perbuatan wakaf sudah diketahui berdasarkan berbagai petunjuk (qarinah) dan 2(dua) orang saksi serta AIW tidak mungkin dibuat karena Wakif sudah meninggal dunia atau tidak diketahui lagi keberadaannya, maka dibuat APAIW.</w:t>
      </w:r>
    </w:p>
    <w:p w14:paraId="169CC16A" w14:textId="77777777" w:rsidR="00D50321" w:rsidRPr="0041486A" w:rsidRDefault="00D50321" w:rsidP="00D50321">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39:</w:t>
      </w:r>
    </w:p>
    <w:p w14:paraId="16B4C6D8" w14:textId="77777777" w:rsidR="00D50321" w:rsidRPr="0041486A" w:rsidRDefault="00D50321" w:rsidP="00D50321">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b/>
        <w:t>Pendaftaran sertifikat tanah dilakukan berdasarkan AIW atau APAIW dengan tata cara sebagai berikut:</w:t>
      </w:r>
    </w:p>
    <w:p w14:paraId="303CFCF3" w14:textId="77777777" w:rsidR="00D50321" w:rsidRPr="0041486A" w:rsidRDefault="00D50321" w:rsidP="00D50321">
      <w:pPr>
        <w:pStyle w:val="ListParagraph"/>
        <w:numPr>
          <w:ilvl w:val="0"/>
          <w:numId w:val="1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Terhadap tanah yang sudah berstatus hak milik didaftaran menjadi tanah wakaf atas nama Nazhir;</w:t>
      </w:r>
    </w:p>
    <w:p w14:paraId="2EC0BDC3" w14:textId="77777777" w:rsidR="00D50321" w:rsidRPr="0041486A" w:rsidRDefault="00D50321" w:rsidP="00D50321">
      <w:pPr>
        <w:pStyle w:val="ListParagraph"/>
        <w:numPr>
          <w:ilvl w:val="0"/>
          <w:numId w:val="1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Terhadap tanah hak milik yang diwakafkan hanya sebagian dari luas keseluruhan harus dilakukan pemecahan sertifikat hak milik terlebih dahulu, kemudian didaftarkan menjadi tanah wakaf atas nama Nazhir;</w:t>
      </w:r>
    </w:p>
    <w:p w14:paraId="333CA042" w14:textId="77777777" w:rsidR="00D50321" w:rsidRPr="0041486A" w:rsidRDefault="00D50321" w:rsidP="00D50321">
      <w:pPr>
        <w:pStyle w:val="ListParagraph"/>
        <w:numPr>
          <w:ilvl w:val="0"/>
          <w:numId w:val="1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Terhadap tanah yang belum berstatus hak milik yang berasal dari tanah milik adat langsung didaftarkan menjadi tanah wakaf atas nama Nazhir;</w:t>
      </w:r>
    </w:p>
    <w:p w14:paraId="37DCC338" w14:textId="77777777" w:rsidR="00D50321" w:rsidRPr="0041486A" w:rsidRDefault="00D50321" w:rsidP="00D50321">
      <w:pPr>
        <w:pStyle w:val="ListParagraph"/>
        <w:numPr>
          <w:ilvl w:val="0"/>
          <w:numId w:val="1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Terhadap hak guna bangunan, hak guna usaha atau hak pakai di atas tanah negara sebagaimana dimaksud dalam pasal 17 ayat (1) huruf b yang telah mendapatkan persetujuan pelepasan hak dari pejabat yang berwenang di bidang pertanahan didaftarkan menjadi tanah wakaf atas nama Nazhir;</w:t>
      </w:r>
    </w:p>
    <w:p w14:paraId="2B39FA83" w14:textId="77777777" w:rsidR="00D50321" w:rsidRPr="0041486A" w:rsidRDefault="00D50321" w:rsidP="00D50321">
      <w:pPr>
        <w:pStyle w:val="ListParagraph"/>
        <w:numPr>
          <w:ilvl w:val="0"/>
          <w:numId w:val="1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Terhadap tanah negara yang diatasnya berdiri bangunan masjid, musala, makam, didaftarkan menjadi tanah wakaf atas nama Nazhir;</w:t>
      </w:r>
    </w:p>
    <w:p w14:paraId="6A4C2BC9" w14:textId="77777777" w:rsidR="00D50321" w:rsidRPr="0041486A" w:rsidRDefault="00D50321" w:rsidP="00D50321">
      <w:pPr>
        <w:pStyle w:val="ListParagraph"/>
        <w:numPr>
          <w:ilvl w:val="0"/>
          <w:numId w:val="1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lastRenderedPageBreak/>
        <w:t>Pejabat yang berwenang di bidang pertanahan kabupaten/kota setempat mencatat perwakafan tanah yang bersangkutan pada buku tanah dan sertifikatnya.</w:t>
      </w:r>
    </w:p>
    <w:p w14:paraId="0738A0B4" w14:textId="77777777" w:rsidR="00D50321" w:rsidRPr="0041486A" w:rsidRDefault="00D50321" w:rsidP="00D50321">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41:</w:t>
      </w:r>
    </w:p>
    <w:p w14:paraId="2279D556" w14:textId="77777777" w:rsidR="00D50321" w:rsidRPr="0041486A" w:rsidRDefault="00D50321" w:rsidP="00D50321">
      <w:pPr>
        <w:pStyle w:val="ListParagraph"/>
        <w:numPr>
          <w:ilvl w:val="0"/>
          <w:numId w:val="11"/>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Untuk benda bergerak yang sudah terdaftar, Wakif menyerahkan tanda bukti kepemilikan benda bergerak kepada PPAIW dengan disertai surat keterangan pendaftaran dari instansi yang berwenang yang tugas pokoknya terkait dengan pendaftaran benda bergerak tersebut.</w:t>
      </w:r>
    </w:p>
    <w:p w14:paraId="36FA03B5" w14:textId="77777777" w:rsidR="00D50321" w:rsidRPr="0041486A" w:rsidRDefault="00D50321" w:rsidP="00D50321">
      <w:pPr>
        <w:pStyle w:val="ListParagraph"/>
        <w:numPr>
          <w:ilvl w:val="0"/>
          <w:numId w:val="11"/>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Untuk benda bergerak yang tidak terdaftar, wakif menyerahkan tanda bukti pembelian atau tanda bukti pembayaran berupa faktur, kwitansi atau bukti lainnya.</w:t>
      </w:r>
    </w:p>
    <w:p w14:paraId="306D0AD3" w14:textId="77777777" w:rsidR="00D50321" w:rsidRPr="0041486A" w:rsidRDefault="00D50321" w:rsidP="00D50321">
      <w:pPr>
        <w:pStyle w:val="ListParagraph"/>
        <w:numPr>
          <w:ilvl w:val="0"/>
          <w:numId w:val="11"/>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Untuk benda bergerak yang tidak terdaftar dan tidak memiliki tanda bukti pembelian atau tanda bukti pembayaran, wakif membuat surat pernyataan kepemilikan atas benda bergerak tersebut yang diketahui oleh 2 (dua) orang saksi dan dikuatkan oleh instansi pemerintah setempat.</w:t>
      </w:r>
    </w:p>
    <w:p w14:paraId="624512D9" w14:textId="77777777" w:rsidR="00D50321" w:rsidRPr="0041486A" w:rsidRDefault="00D50321" w:rsidP="00D50321">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46:</w:t>
      </w:r>
    </w:p>
    <w:p w14:paraId="0EF0F2A4" w14:textId="77777777" w:rsidR="00D50321" w:rsidRPr="0041486A" w:rsidRDefault="00D50321" w:rsidP="00D50321">
      <w:pPr>
        <w:spacing w:after="0" w:line="240" w:lineRule="auto"/>
        <w:ind w:firstLine="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Pengelolaan dan pengembangan harta benda wakaf dari perorangan warga negara asing, organisasi asing dan badan hukum asing yang berskala nasional atau internasional, serta harta benda wakaf terlantar, dapat dilakukan oleh BWI.</w:t>
      </w:r>
    </w:p>
    <w:p w14:paraId="4C992EF5" w14:textId="77777777" w:rsidR="00D50321" w:rsidRPr="0041486A" w:rsidRDefault="00D50321" w:rsidP="00D50321">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56:</w:t>
      </w:r>
    </w:p>
    <w:p w14:paraId="2BAB3B61" w14:textId="77777777" w:rsidR="00D50321" w:rsidRPr="0041486A" w:rsidRDefault="00D50321" w:rsidP="00D50321">
      <w:pPr>
        <w:pStyle w:val="ListParagraph"/>
        <w:numPr>
          <w:ilvl w:val="0"/>
          <w:numId w:val="1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Pengawasan terhadap perwakafan dilakukan oleh pemerintah dan masyarakat, baik aktif maupun pasif.</w:t>
      </w:r>
    </w:p>
    <w:p w14:paraId="6311D1ED" w14:textId="77777777" w:rsidR="00D50321" w:rsidRPr="0041486A" w:rsidRDefault="00D50321" w:rsidP="00D50321">
      <w:pPr>
        <w:pStyle w:val="ListParagraph"/>
        <w:numPr>
          <w:ilvl w:val="0"/>
          <w:numId w:val="1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Pengawasan aktif dilakukan dengan melakukan pemeriksaan langsung terhadap Nazhir atas pengelolaan wakaf, sekurang-kurangnya sekali dalam setahun.</w:t>
      </w:r>
    </w:p>
    <w:p w14:paraId="3DAF5B32" w14:textId="77777777" w:rsidR="00D50321" w:rsidRPr="0041486A" w:rsidRDefault="00D50321" w:rsidP="00D50321">
      <w:pPr>
        <w:pStyle w:val="ListParagraph"/>
        <w:numPr>
          <w:ilvl w:val="0"/>
          <w:numId w:val="1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Pengawasan pasif dilakukan dengan melakukan pengamatan atas berbagai laporan yang disampaikan Nazhir berkaitan dengan pengelilaan wakaf.</w:t>
      </w:r>
    </w:p>
    <w:p w14:paraId="0B4A6ECD" w14:textId="77777777" w:rsidR="00D50321" w:rsidRPr="0041486A" w:rsidRDefault="00D50321" w:rsidP="00D50321">
      <w:pPr>
        <w:pStyle w:val="ListParagraph"/>
        <w:numPr>
          <w:ilvl w:val="0"/>
          <w:numId w:val="1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melaksanakan pengawasan sebagaiman dimaksud pada ayat (1) pemerintah dan masyarakat dapat meminta bantuan jasa akuntan publik indepnden.</w:t>
      </w:r>
    </w:p>
    <w:p w14:paraId="41895596" w14:textId="77777777" w:rsidR="00D50321" w:rsidRPr="0041486A" w:rsidRDefault="00D50321" w:rsidP="00D50321">
      <w:pPr>
        <w:pStyle w:val="ListParagraph"/>
        <w:numPr>
          <w:ilvl w:val="0"/>
          <w:numId w:val="1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Ketentuan lebih lanjut mengenai tata cara pengawasan terhadap perwakafan sebagaimana dimaksud pada ayat (1) diatur dengan Peraturan Menteri</w:t>
      </w:r>
    </w:p>
    <w:p w14:paraId="4CA52E4A" w14:textId="77777777" w:rsidR="00D50321" w:rsidRPr="0041486A" w:rsidRDefault="00D50321" w:rsidP="00D50321">
      <w:pPr>
        <w:spacing w:after="0" w:line="240" w:lineRule="auto"/>
        <w:ind w:left="36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Pasal 58:</w:t>
      </w:r>
    </w:p>
    <w:p w14:paraId="77ED9BB4" w14:textId="77777777" w:rsidR="00D50321" w:rsidRPr="0041486A" w:rsidRDefault="00D50321" w:rsidP="00D50321">
      <w:pPr>
        <w:pStyle w:val="ListParagraph"/>
        <w:numPr>
          <w:ilvl w:val="0"/>
          <w:numId w:val="13"/>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Pada saat berlakunya Peraturan Pemerintah ini, harta benda tidak bergerak berupa tanah, bangunan, tanaman dan benda lain yang terkait dengan tanah sebagaimana dimaksud dalam pasal 16 yang telah diwakafkan secara sah menurut syariah tetapi belum terdaftar sebagai benda wakaf menurut Peraturan Perundang-undangan sebelum berlakunya Peraturan Pemerintah ini, dengan ketentuan:</w:t>
      </w:r>
    </w:p>
    <w:p w14:paraId="717B4BE3" w14:textId="77777777" w:rsidR="00D50321" w:rsidRPr="0041486A" w:rsidRDefault="00D50321" w:rsidP="00D50321">
      <w:pPr>
        <w:pStyle w:val="ListParagraph"/>
        <w:numPr>
          <w:ilvl w:val="0"/>
          <w:numId w:val="14"/>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hal harta benda wakaf dikuasai secara fisik, dan sudah ada AIW;</w:t>
      </w:r>
    </w:p>
    <w:p w14:paraId="221B3B47" w14:textId="77777777" w:rsidR="00D50321" w:rsidRPr="0041486A" w:rsidRDefault="00D50321" w:rsidP="00D50321">
      <w:pPr>
        <w:pStyle w:val="ListParagraph"/>
        <w:numPr>
          <w:ilvl w:val="0"/>
          <w:numId w:val="14"/>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hal harta benda wakaf yang tidak dikuasai secara fisik sebagian atau seluruhnya, sepanjang Wakif dan/atau Nazhir bersedia dan sanggup menyelesaikan penguasaan fisik dan dapat membuktikan penguasaan harta benda wakaf tersebut adalah tanpa alas hak yang sah; atau</w:t>
      </w:r>
    </w:p>
    <w:p w14:paraId="09BDD75B" w14:textId="77777777" w:rsidR="00D50321" w:rsidRPr="0041486A" w:rsidRDefault="00D50321" w:rsidP="00D50321">
      <w:pPr>
        <w:pStyle w:val="ListParagraph"/>
        <w:numPr>
          <w:ilvl w:val="0"/>
          <w:numId w:val="14"/>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hal harta benda wakaf yang dikuasai oleh ahli waris Wakif atau Nazhir, dapat didaftarkan menjadi wakaf sepanjang terdapat kesaksian dari pihak yang mengetahui wakaf tersebut dan dikukuhkan dengan penetapan pengadilan.</w:t>
      </w:r>
    </w:p>
    <w:p w14:paraId="52FB7940" w14:textId="77777777" w:rsidR="00D50321" w:rsidRPr="0041486A" w:rsidRDefault="00D50321" w:rsidP="00D50321">
      <w:pPr>
        <w:pStyle w:val="ListParagraph"/>
        <w:numPr>
          <w:ilvl w:val="0"/>
          <w:numId w:val="13"/>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Pada saat berlakunya Peraturan Pemerintah ini:</w:t>
      </w:r>
    </w:p>
    <w:p w14:paraId="14677920" w14:textId="77777777" w:rsidR="00D50321" w:rsidRPr="0041486A" w:rsidRDefault="00D50321" w:rsidP="00D50321">
      <w:pPr>
        <w:pStyle w:val="ListParagraph"/>
        <w:numPr>
          <w:ilvl w:val="0"/>
          <w:numId w:val="1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 xml:space="preserve">Lembaga non keuangan atau perseorangan yang menerima wakaf uang wajib untuk mengalihkan penerimaan wakaf uang melalui rekening </w:t>
      </w:r>
      <w:r w:rsidRPr="0041486A">
        <w:rPr>
          <w:rFonts w:ascii="Bookman Old Style" w:hAnsi="Bookman Old Style" w:cstheme="majorBidi"/>
          <w:i/>
          <w:iCs/>
          <w:color w:val="000000" w:themeColor="text1"/>
          <w:sz w:val="20"/>
          <w:szCs w:val="20"/>
        </w:rPr>
        <w:t xml:space="preserve">Wadi’ah </w:t>
      </w:r>
      <w:r w:rsidRPr="0041486A">
        <w:rPr>
          <w:rFonts w:ascii="Bookman Old Style" w:hAnsi="Bookman Old Style" w:cstheme="majorBidi"/>
          <w:color w:val="000000" w:themeColor="text1"/>
          <w:sz w:val="20"/>
          <w:szCs w:val="20"/>
        </w:rPr>
        <w:t>pada LKS-PWU yang ditunjuk oleh Menteri;</w:t>
      </w:r>
    </w:p>
    <w:p w14:paraId="609E712D" w14:textId="77777777" w:rsidR="00D50321" w:rsidRPr="0041486A" w:rsidRDefault="00D50321" w:rsidP="00D50321">
      <w:pPr>
        <w:pStyle w:val="ListParagraph"/>
        <w:numPr>
          <w:ilvl w:val="0"/>
          <w:numId w:val="1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Lembaga keuangan yang menerima wakaf uang wajib mengajukan permohonan kepada Menteri sebagai LKS-PWU.</w:t>
      </w:r>
    </w:p>
    <w:p w14:paraId="7FF69F09" w14:textId="77777777" w:rsidR="00D50321" w:rsidRPr="0041486A" w:rsidRDefault="00D50321" w:rsidP="00D50321">
      <w:pPr>
        <w:pStyle w:val="ListParagraph"/>
        <w:numPr>
          <w:ilvl w:val="0"/>
          <w:numId w:val="13"/>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Pada saat berlakunya Peraturan Pemerintah ini, perseorangan, organisasi, atau badan hukum yang mengelola wakaf uang wajib mendaftarkan pada Menteri dan BWI melalu KUA setempat untuk menjadi Nazhir.</w:t>
      </w:r>
    </w:p>
    <w:p w14:paraId="012C227F" w14:textId="646D6A52" w:rsidR="00D50321" w:rsidRPr="0041486A" w:rsidRDefault="00D50321" w:rsidP="004F3FC0">
      <w:pPr>
        <w:pStyle w:val="ListParagraph"/>
        <w:spacing w:after="0" w:line="240" w:lineRule="auto"/>
        <w:ind w:left="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lang w:val="en-US"/>
        </w:rPr>
        <w:tab/>
      </w:r>
      <w:r w:rsidR="002508EA" w:rsidRPr="0041486A">
        <w:rPr>
          <w:rFonts w:ascii="Bookman Old Style" w:eastAsia="Garamond" w:hAnsi="Bookman Old Style" w:cs="Garamond"/>
          <w:color w:val="000000" w:themeColor="text1"/>
          <w:sz w:val="20"/>
          <w:szCs w:val="20"/>
          <w:lang w:val="en-US"/>
        </w:rPr>
        <w:t>DE PSAK 112</w:t>
      </w:r>
      <w:r w:rsidRPr="0041486A">
        <w:rPr>
          <w:rFonts w:ascii="Bookman Old Style" w:eastAsia="Garamond" w:hAnsi="Bookman Old Style" w:cs="Garamond"/>
          <w:color w:val="000000" w:themeColor="text1"/>
          <w:sz w:val="20"/>
          <w:szCs w:val="20"/>
          <w:lang w:val="en-US"/>
        </w:rPr>
        <w:t xml:space="preserve"> </w:t>
      </w:r>
      <w:r w:rsidRPr="0041486A">
        <w:rPr>
          <w:rFonts w:ascii="Bookman Old Style" w:hAnsi="Bookman Old Style" w:cstheme="majorBidi"/>
          <w:color w:val="000000" w:themeColor="text1"/>
          <w:sz w:val="20"/>
          <w:szCs w:val="20"/>
        </w:rPr>
        <w:t xml:space="preserve">menyatakan bahwa akuntansi wakaf terdiri dari paragraf 01-57. Menurut DE PSAK Pernyataan ini tidak wajib diterapkan pada unsur yang tidak material. Tujuan dari pernyataan ini untuk mengatur pengakuan, pengukuran, </w:t>
      </w:r>
      <w:r w:rsidRPr="0041486A">
        <w:rPr>
          <w:rFonts w:ascii="Bookman Old Style" w:hAnsi="Bookman Old Style" w:cstheme="majorBidi"/>
          <w:color w:val="000000" w:themeColor="text1"/>
          <w:sz w:val="20"/>
          <w:szCs w:val="20"/>
        </w:rPr>
        <w:lastRenderedPageBreak/>
        <w:t>penyajian, dan pengungkapan transaksi wakaf. Pernyataan ini diterapkan pada transaksi yang dilakukan oleh Nazhir organisasi dan badan hukum serta wakif organisasi dan badan hukum. Transaksi dan peristiwa lain terkait wakaf yang dimaksud dalam pernyataan ini meliputi penerimaan, pengelolaan, dan pengembangan aset wakaf serta penyaluran manfaat dari aset wakaf yang dilakukan oleh nazhir organisasi, dan penyerahan aset wakaf yang dilakukan oleh wakif organisasi. Aset wakaf dapat dimanfaatkan selamanya atau untuk jangka waktu tertentu (wakaf temporer) yang dimaksud adalah wakaf uang.</w:t>
      </w:r>
    </w:p>
    <w:p w14:paraId="153417DD" w14:textId="77777777" w:rsidR="00D50321" w:rsidRPr="0041486A" w:rsidRDefault="00D50321" w:rsidP="00D50321">
      <w:pPr>
        <w:pStyle w:val="ListParagraph"/>
        <w:numPr>
          <w:ilvl w:val="0"/>
          <w:numId w:val="1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Unsur Wakaf</w:t>
      </w:r>
    </w:p>
    <w:p w14:paraId="0A8435D5" w14:textId="77777777" w:rsidR="00D50321" w:rsidRPr="0041486A" w:rsidRDefault="00D50321" w:rsidP="00D50321">
      <w:pPr>
        <w:pStyle w:val="ListParagraph"/>
        <w:numPr>
          <w:ilvl w:val="0"/>
          <w:numId w:val="1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Wakif</w:t>
      </w:r>
    </w:p>
    <w:p w14:paraId="0D11E25E" w14:textId="77777777" w:rsidR="00D50321" w:rsidRPr="0041486A" w:rsidRDefault="00D50321" w:rsidP="00D50321">
      <w:pPr>
        <w:pStyle w:val="ListParagraph"/>
        <w:numPr>
          <w:ilvl w:val="0"/>
          <w:numId w:val="1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Nazhir</w:t>
      </w:r>
    </w:p>
    <w:p w14:paraId="0225F1E7" w14:textId="77777777" w:rsidR="00D50321" w:rsidRPr="0041486A" w:rsidRDefault="00D50321" w:rsidP="00D50321">
      <w:pPr>
        <w:pStyle w:val="ListParagraph"/>
        <w:numPr>
          <w:ilvl w:val="0"/>
          <w:numId w:val="1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Aset wakaf</w:t>
      </w:r>
    </w:p>
    <w:p w14:paraId="04BDDA2A" w14:textId="77777777" w:rsidR="00D50321" w:rsidRPr="0041486A" w:rsidRDefault="00D50321" w:rsidP="00D50321">
      <w:pPr>
        <w:pStyle w:val="ListParagraph"/>
        <w:numPr>
          <w:ilvl w:val="0"/>
          <w:numId w:val="1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Ikrar wakaf</w:t>
      </w:r>
    </w:p>
    <w:p w14:paraId="026731AD" w14:textId="77777777" w:rsidR="00D50321" w:rsidRPr="0041486A" w:rsidRDefault="00D50321" w:rsidP="00D50321">
      <w:pPr>
        <w:pStyle w:val="ListParagraph"/>
        <w:numPr>
          <w:ilvl w:val="0"/>
          <w:numId w:val="1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Peruntukan aset wakaf</w:t>
      </w:r>
    </w:p>
    <w:p w14:paraId="4BE97358" w14:textId="77777777" w:rsidR="00D50321" w:rsidRPr="0041486A" w:rsidRDefault="00D50321" w:rsidP="00D50321">
      <w:pPr>
        <w:pStyle w:val="ListParagraph"/>
        <w:numPr>
          <w:ilvl w:val="0"/>
          <w:numId w:val="17"/>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Jangka waktu wakaf</w:t>
      </w:r>
    </w:p>
    <w:p w14:paraId="55FAE46E" w14:textId="77777777" w:rsidR="00D50321" w:rsidRPr="0041486A" w:rsidRDefault="00D50321" w:rsidP="00D50321">
      <w:pPr>
        <w:pStyle w:val="ListParagraph"/>
        <w:numPr>
          <w:ilvl w:val="0"/>
          <w:numId w:val="1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Fungsi Wakaf</w:t>
      </w:r>
    </w:p>
    <w:p w14:paraId="151A3FFB" w14:textId="77777777" w:rsidR="00D50321" w:rsidRPr="0041486A" w:rsidRDefault="00D50321" w:rsidP="00D50321">
      <w:pPr>
        <w:pStyle w:val="ListParagraph"/>
        <w:spacing w:after="0" w:line="240" w:lineRule="auto"/>
        <w:ind w:left="108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Untuk mewujudkan potensi dan manfaat ekonomis aset tersebut untuk kepentingan ibadah dan memajukan kesejahteraan umum.</w:t>
      </w:r>
    </w:p>
    <w:p w14:paraId="2B1548DE" w14:textId="77777777" w:rsidR="00D50321" w:rsidRPr="0041486A" w:rsidRDefault="00D50321" w:rsidP="00D50321">
      <w:pPr>
        <w:pStyle w:val="ListParagraph"/>
        <w:numPr>
          <w:ilvl w:val="0"/>
          <w:numId w:val="1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Peruntukan Wakaf</w:t>
      </w:r>
    </w:p>
    <w:p w14:paraId="6A992777" w14:textId="77777777" w:rsidR="00D50321" w:rsidRPr="0041486A" w:rsidRDefault="00D50321" w:rsidP="00D50321">
      <w:pPr>
        <w:pStyle w:val="ListParagraph"/>
        <w:numPr>
          <w:ilvl w:val="0"/>
          <w:numId w:val="1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Sarana dan kegiatan ibadah</w:t>
      </w:r>
    </w:p>
    <w:p w14:paraId="108BF0A0" w14:textId="77777777" w:rsidR="00D50321" w:rsidRPr="0041486A" w:rsidRDefault="00D50321" w:rsidP="00D50321">
      <w:pPr>
        <w:pStyle w:val="ListParagraph"/>
        <w:numPr>
          <w:ilvl w:val="0"/>
          <w:numId w:val="1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Sarana kegiatan pendidikan dan kesehatan</w:t>
      </w:r>
    </w:p>
    <w:p w14:paraId="639AEF48" w14:textId="77777777" w:rsidR="00D50321" w:rsidRPr="0041486A" w:rsidRDefault="00D50321" w:rsidP="00D50321">
      <w:pPr>
        <w:pStyle w:val="ListParagraph"/>
        <w:numPr>
          <w:ilvl w:val="0"/>
          <w:numId w:val="1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Bantuan kepada fakir miskin, anak terlantar, yatim piatu dan beasiswa</w:t>
      </w:r>
    </w:p>
    <w:p w14:paraId="49DA9019" w14:textId="77777777" w:rsidR="00D50321" w:rsidRPr="0041486A" w:rsidRDefault="00D50321" w:rsidP="00D50321">
      <w:pPr>
        <w:pStyle w:val="ListParagraph"/>
        <w:numPr>
          <w:ilvl w:val="0"/>
          <w:numId w:val="1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 xml:space="preserve">Kemajuan dan peningkatan ekonomi umat </w:t>
      </w:r>
    </w:p>
    <w:p w14:paraId="60D6DAFC" w14:textId="77777777" w:rsidR="00D50321" w:rsidRPr="0041486A" w:rsidRDefault="00D50321" w:rsidP="00D50321">
      <w:pPr>
        <w:pStyle w:val="ListParagraph"/>
        <w:numPr>
          <w:ilvl w:val="0"/>
          <w:numId w:val="18"/>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Kemajuan dan kesejahteraan umum lain.</w:t>
      </w:r>
    </w:p>
    <w:p w14:paraId="2D9BCF76" w14:textId="77777777" w:rsidR="00D50321" w:rsidRPr="0041486A" w:rsidRDefault="00D50321" w:rsidP="00D50321">
      <w:pPr>
        <w:spacing w:after="0" w:line="240" w:lineRule="auto"/>
        <w:ind w:left="720" w:firstLine="36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PSAK 112 juga membahas mengenai Akuntansi Nazhir yang terdiri dari:</w:t>
      </w:r>
    </w:p>
    <w:p w14:paraId="4D72BA82" w14:textId="77777777" w:rsidR="00D50321" w:rsidRPr="0041486A" w:rsidRDefault="00D50321" w:rsidP="00D50321">
      <w:pPr>
        <w:pStyle w:val="ListParagraph"/>
        <w:numPr>
          <w:ilvl w:val="0"/>
          <w:numId w:val="19"/>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Pengakuan</w:t>
      </w:r>
    </w:p>
    <w:p w14:paraId="4569E27F" w14:textId="77777777" w:rsidR="00D50321" w:rsidRPr="0041486A" w:rsidRDefault="00D50321" w:rsidP="00D50321">
      <w:pPr>
        <w:pStyle w:val="ListParagraph"/>
        <w:spacing w:after="0" w:line="240" w:lineRule="auto"/>
        <w:ind w:left="108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Nazhir mengakui aset wakaf dalam laporan keuangan ketika memiliki kendali secara hukum dan fisik atas aset wakaf tersebut.</w:t>
      </w:r>
    </w:p>
    <w:p w14:paraId="0A22F0BD" w14:textId="77777777" w:rsidR="00D50321" w:rsidRPr="0041486A" w:rsidRDefault="00D50321" w:rsidP="00D50321">
      <w:pPr>
        <w:pStyle w:val="ListParagraph"/>
        <w:numPr>
          <w:ilvl w:val="0"/>
          <w:numId w:val="19"/>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Pengukuran</w:t>
      </w:r>
    </w:p>
    <w:p w14:paraId="797A4AE3" w14:textId="77777777" w:rsidR="00D50321" w:rsidRPr="0041486A" w:rsidRDefault="00D50321" w:rsidP="00D50321">
      <w:pPr>
        <w:pStyle w:val="ListParagraph"/>
        <w:spacing w:after="0" w:line="240" w:lineRule="auto"/>
        <w:ind w:left="108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Pada saat pengakuan awal, aset wakaf diukur sebagai berikut:</w:t>
      </w:r>
    </w:p>
    <w:p w14:paraId="6397EA90" w14:textId="77777777" w:rsidR="00D50321" w:rsidRPr="0041486A" w:rsidRDefault="00D50321" w:rsidP="00D50321">
      <w:pPr>
        <w:pStyle w:val="ListParagraph"/>
        <w:numPr>
          <w:ilvl w:val="0"/>
          <w:numId w:val="21"/>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Aset wakaf berupa uang diukur pada nilai nominal</w:t>
      </w:r>
    </w:p>
    <w:p w14:paraId="560E7924" w14:textId="77777777" w:rsidR="00D50321" w:rsidRPr="0041486A" w:rsidRDefault="00D50321" w:rsidP="00D50321">
      <w:pPr>
        <w:pStyle w:val="ListParagraph"/>
        <w:numPr>
          <w:ilvl w:val="0"/>
          <w:numId w:val="21"/>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Aset wakaf selain uang diukur pada nilai wajar</w:t>
      </w:r>
    </w:p>
    <w:p w14:paraId="044A4A53" w14:textId="77777777" w:rsidR="00D50321" w:rsidRPr="0041486A" w:rsidRDefault="00D50321" w:rsidP="00D50321">
      <w:pPr>
        <w:pStyle w:val="ListParagraph"/>
        <w:numPr>
          <w:ilvl w:val="0"/>
          <w:numId w:val="19"/>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Penyajian</w:t>
      </w:r>
    </w:p>
    <w:p w14:paraId="31120960" w14:textId="77777777" w:rsidR="00D50321" w:rsidRPr="0041486A" w:rsidRDefault="00D50321" w:rsidP="00D50321">
      <w:pPr>
        <w:pStyle w:val="ListParagraph"/>
        <w:spacing w:after="0" w:line="240" w:lineRule="auto"/>
        <w:ind w:left="108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Nazhir menyajikan aset wakaf temporer yang diterima sebagai liabilitas.</w:t>
      </w:r>
    </w:p>
    <w:p w14:paraId="1BFE7CB2" w14:textId="77777777" w:rsidR="00D50321" w:rsidRPr="0041486A" w:rsidRDefault="00D50321" w:rsidP="00D50321">
      <w:pPr>
        <w:pStyle w:val="ListParagraph"/>
        <w:numPr>
          <w:ilvl w:val="0"/>
          <w:numId w:val="19"/>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Pengungkapan</w:t>
      </w:r>
    </w:p>
    <w:p w14:paraId="0D0283D2" w14:textId="77777777" w:rsidR="00D50321" w:rsidRPr="0041486A" w:rsidRDefault="00D50321" w:rsidP="00D50321">
      <w:pPr>
        <w:pStyle w:val="ListParagraph"/>
        <w:spacing w:after="0" w:line="240" w:lineRule="auto"/>
        <w:ind w:left="108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Nazhir mengungkapkan hal-hal berikut terkait wakaf, tetpi tidak terbatas pada:</w:t>
      </w:r>
    </w:p>
    <w:p w14:paraId="3487C9E2"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Kebijakan akuntansi yang diterapkan pada penerimaan, pengelolaan dan penyaluran wakaf;</w:t>
      </w:r>
    </w:p>
    <w:p w14:paraId="5858BE96"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Penjelasan mengenai wakif yang signifikan secara individual;</w:t>
      </w:r>
    </w:p>
    <w:p w14:paraId="5F947860"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Penjelasan mengenai strategi pengelolaan dan pengembangan aset wakaf;</w:t>
      </w:r>
    </w:p>
    <w:p w14:paraId="5DDAECB1"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Penjelasan mengenai peruntukan aset wakaf;</w:t>
      </w:r>
    </w:p>
    <w:p w14:paraId="32B718C5"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Jumlah imbalan Nazhir dan persentasenya dari hasil neto pengelolaan dan pengembangan aset wakaf, dan jika terjadi perubahan di periode berjalan, dijelaskan alasan perubahannya;</w:t>
      </w:r>
    </w:p>
    <w:p w14:paraId="353E0892"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Rincian aset neto meliputi aset wakaf awal, aset wakaf yang bersumber dari pengelolaan dan pengembangan aset wakaf awal, dan hasil neto pengelolaan dan pengembangan aset wakaf;</w:t>
      </w:r>
    </w:p>
    <w:p w14:paraId="27DB9C10"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Rekonsiliasi untuk menentukan dasar perhitungan imbalan nazhir meliputi:</w:t>
      </w:r>
    </w:p>
    <w:p w14:paraId="2EFECF2E" w14:textId="77777777" w:rsidR="00D50321" w:rsidRPr="0041486A" w:rsidRDefault="00D50321" w:rsidP="00D50321">
      <w:pPr>
        <w:pStyle w:val="ListParagraph"/>
        <w:numPr>
          <w:ilvl w:val="0"/>
          <w:numId w:val="23"/>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Hasil pengelolaan dan pengembangan wakaf periode berjalan;</w:t>
      </w:r>
    </w:p>
    <w:p w14:paraId="005EE87D" w14:textId="77777777" w:rsidR="00D50321" w:rsidRPr="0041486A" w:rsidRDefault="00D50321" w:rsidP="00D50321">
      <w:pPr>
        <w:pStyle w:val="ListParagraph"/>
        <w:numPr>
          <w:ilvl w:val="0"/>
          <w:numId w:val="23"/>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Hasil neto pengelolaan dan pengembangan wakaf periode berjalan yang belum terealisasi dalam kas dan setara kas pada periode berjalan</w:t>
      </w:r>
    </w:p>
    <w:p w14:paraId="5409AF8B" w14:textId="77777777" w:rsidR="00D50321" w:rsidRPr="0041486A" w:rsidRDefault="00D50321" w:rsidP="00D50321">
      <w:pPr>
        <w:pStyle w:val="ListParagraph"/>
        <w:numPr>
          <w:ilvl w:val="0"/>
          <w:numId w:val="23"/>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Hasil neto pengelolaan dan pengembangan wakaf periode lalu yang terealisasi dalam kas pada periode berjalan;</w:t>
      </w:r>
    </w:p>
    <w:p w14:paraId="12A040D1"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Jika ada wakaf temporer, penjelasan mengenai fakta tersebut, jumlah dan wakif;</w:t>
      </w:r>
    </w:p>
    <w:p w14:paraId="28E34135"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lastRenderedPageBreak/>
        <w:t>Jika ada wakaf melalui uang, penjelasan mengenai wakaf melalui uang yang belum direalisasi menjadi aset wakaf yang dimaksud;</w:t>
      </w:r>
    </w:p>
    <w:p w14:paraId="31495955"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Jika ada aset wakaf yang ditukar dengan aset wakaf lain, penjelasan mengenai hal tersebut termasuk jenis aset yang ditukar dan aset pengganti, alasan, dan dasar hukum;</w:t>
      </w:r>
    </w:p>
    <w:p w14:paraId="65F4EBDE" w14:textId="77777777" w:rsidR="00D50321" w:rsidRPr="0041486A" w:rsidRDefault="00D50321" w:rsidP="00D50321">
      <w:pPr>
        <w:pStyle w:val="ListParagraph"/>
        <w:numPr>
          <w:ilvl w:val="0"/>
          <w:numId w:val="22"/>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Jika ada hubungan pihak berelasi antara wakif, nazhirm dan/atau mauquf alaih, maka diungkapkan:</w:t>
      </w:r>
    </w:p>
    <w:p w14:paraId="00098343" w14:textId="77777777" w:rsidR="00D50321" w:rsidRPr="0041486A" w:rsidRDefault="00D50321" w:rsidP="00D50321">
      <w:pPr>
        <w:pStyle w:val="ListParagraph"/>
        <w:numPr>
          <w:ilvl w:val="0"/>
          <w:numId w:val="24"/>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Sifat hubungan;</w:t>
      </w:r>
    </w:p>
    <w:p w14:paraId="07FD4C21" w14:textId="77777777" w:rsidR="00D50321" w:rsidRPr="0041486A" w:rsidRDefault="00D50321" w:rsidP="00D50321">
      <w:pPr>
        <w:pStyle w:val="ListParagraph"/>
        <w:numPr>
          <w:ilvl w:val="0"/>
          <w:numId w:val="24"/>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Jumlah dan jenis aset wakaf dan/atau temporer;</w:t>
      </w:r>
    </w:p>
    <w:p w14:paraId="1B5E369A" w14:textId="77777777" w:rsidR="00D50321" w:rsidRPr="0041486A" w:rsidRDefault="00D50321" w:rsidP="00D50321">
      <w:pPr>
        <w:pStyle w:val="ListParagraph"/>
        <w:numPr>
          <w:ilvl w:val="0"/>
          <w:numId w:val="24"/>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Persentase penyaluran manfaat wakaf dari total penyaluran manfaat wakaf selama periode berjalan.</w:t>
      </w:r>
    </w:p>
    <w:p w14:paraId="08618450" w14:textId="77777777" w:rsidR="00D50321" w:rsidRPr="0041486A" w:rsidRDefault="00D50321" w:rsidP="00D50321">
      <w:pPr>
        <w:spacing w:after="0" w:line="240" w:lineRule="auto"/>
        <w:ind w:left="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Adapun laporan keuangan nazhir yang lengkap sebagai berikut:</w:t>
      </w:r>
    </w:p>
    <w:p w14:paraId="201DB493" w14:textId="77777777" w:rsidR="00D50321" w:rsidRPr="0041486A" w:rsidRDefault="00D50321" w:rsidP="00D50321">
      <w:pPr>
        <w:pStyle w:val="ListParagraph"/>
        <w:numPr>
          <w:ilvl w:val="0"/>
          <w:numId w:val="2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Laporan posisi keuangan pada akhir periode</w:t>
      </w:r>
    </w:p>
    <w:p w14:paraId="2EA53821" w14:textId="77777777" w:rsidR="00D50321" w:rsidRPr="0041486A" w:rsidRDefault="00D50321" w:rsidP="00D50321">
      <w:pPr>
        <w:pStyle w:val="ListParagraph"/>
        <w:numPr>
          <w:ilvl w:val="0"/>
          <w:numId w:val="2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Laporan rincian aset wakaf pada akhir periode</w:t>
      </w:r>
    </w:p>
    <w:p w14:paraId="136723D5" w14:textId="77777777" w:rsidR="00D50321" w:rsidRPr="0041486A" w:rsidRDefault="00D50321" w:rsidP="00D50321">
      <w:pPr>
        <w:pStyle w:val="ListParagraph"/>
        <w:numPr>
          <w:ilvl w:val="0"/>
          <w:numId w:val="2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Laporan arus kas selama periode</w:t>
      </w:r>
    </w:p>
    <w:p w14:paraId="76D64DAF" w14:textId="77777777" w:rsidR="00D50321" w:rsidRPr="0041486A" w:rsidRDefault="00D50321" w:rsidP="00D50321">
      <w:pPr>
        <w:pStyle w:val="ListParagraph"/>
        <w:numPr>
          <w:ilvl w:val="0"/>
          <w:numId w:val="20"/>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Catatan atas Laporan Keuangan</w:t>
      </w:r>
    </w:p>
    <w:p w14:paraId="166F3254" w14:textId="77777777" w:rsidR="00D50321" w:rsidRPr="0041486A" w:rsidRDefault="00D50321" w:rsidP="00D50321">
      <w:pPr>
        <w:spacing w:after="0" w:line="240" w:lineRule="auto"/>
        <w:ind w:left="720"/>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Dalam transaksi wakaf yang dimaksud dijelaskan dalam PSAK 112 sebagai berikut:</w:t>
      </w:r>
    </w:p>
    <w:p w14:paraId="42EA8ED1" w14:textId="77777777" w:rsidR="00D50321" w:rsidRPr="0041486A" w:rsidRDefault="00D50321" w:rsidP="00D50321">
      <w:pPr>
        <w:pStyle w:val="ListParagraph"/>
        <w:numPr>
          <w:ilvl w:val="0"/>
          <w:numId w:val="2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Wakif mengakui aset wakaf yang diserahkan secara permanen kepada nazhir sebagai beban sebesar jumlah tercatat dari aset wakaf.</w:t>
      </w:r>
    </w:p>
    <w:p w14:paraId="3B75BAA6" w14:textId="77777777" w:rsidR="00D50321" w:rsidRPr="0041486A" w:rsidRDefault="00D50321" w:rsidP="00D50321">
      <w:pPr>
        <w:pStyle w:val="ListParagraph"/>
        <w:numPr>
          <w:ilvl w:val="0"/>
          <w:numId w:val="2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Wakif mengakui aset wakaf yang diserahkan secara temporer kepada nazhir sebagai aset yang dibatasi penggunaannya.</w:t>
      </w:r>
    </w:p>
    <w:p w14:paraId="2E863A2A" w14:textId="77777777" w:rsidR="00D50321" w:rsidRPr="0041486A" w:rsidRDefault="00D50321" w:rsidP="00D50321">
      <w:pPr>
        <w:pStyle w:val="ListParagraph"/>
        <w:numPr>
          <w:ilvl w:val="0"/>
          <w:numId w:val="25"/>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Wakif mengungkapkan hal-hal berikut terkait dengan transaksi wakaf, tetapi tidak terbatas pada:</w:t>
      </w:r>
    </w:p>
    <w:p w14:paraId="6E721826" w14:textId="77777777" w:rsidR="00D50321" w:rsidRPr="0041486A" w:rsidRDefault="00D50321" w:rsidP="00D50321">
      <w:pPr>
        <w:pStyle w:val="ListParagraph"/>
        <w:numPr>
          <w:ilvl w:val="0"/>
          <w:numId w:val="2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Wakaf permanen:</w:t>
      </w:r>
    </w:p>
    <w:p w14:paraId="2A15612B" w14:textId="77777777" w:rsidR="00D50321" w:rsidRPr="0041486A" w:rsidRDefault="00D50321" w:rsidP="00D50321">
      <w:pPr>
        <w:pStyle w:val="ListParagraph"/>
        <w:numPr>
          <w:ilvl w:val="0"/>
          <w:numId w:val="27"/>
        </w:numPr>
        <w:spacing w:after="0" w:line="240" w:lineRule="auto"/>
        <w:ind w:left="1701" w:hanging="261"/>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Rincian aset wakaf yang diserahkan kepada nazhir pada periode berjalan;</w:t>
      </w:r>
    </w:p>
    <w:p w14:paraId="113D6FBD" w14:textId="77777777" w:rsidR="00D50321" w:rsidRPr="0041486A" w:rsidRDefault="00D50321" w:rsidP="00D50321">
      <w:pPr>
        <w:pStyle w:val="ListParagraph"/>
        <w:numPr>
          <w:ilvl w:val="0"/>
          <w:numId w:val="27"/>
        </w:numPr>
        <w:spacing w:after="0" w:line="240" w:lineRule="auto"/>
        <w:ind w:left="1701" w:hanging="261"/>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Peruntukan aset wakaf yang diserahkan kepada nazhir pada periode berjalan.</w:t>
      </w:r>
    </w:p>
    <w:p w14:paraId="7CF45337" w14:textId="77777777" w:rsidR="00D50321" w:rsidRPr="0041486A" w:rsidRDefault="00D50321" w:rsidP="00D50321">
      <w:pPr>
        <w:pStyle w:val="ListParagraph"/>
        <w:numPr>
          <w:ilvl w:val="0"/>
          <w:numId w:val="2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Wakaf temporer:</w:t>
      </w:r>
    </w:p>
    <w:p w14:paraId="44294F9A" w14:textId="77777777" w:rsidR="00D50321" w:rsidRPr="0041486A" w:rsidRDefault="00D50321" w:rsidP="00D50321">
      <w:pPr>
        <w:pStyle w:val="ListParagraph"/>
        <w:numPr>
          <w:ilvl w:val="0"/>
          <w:numId w:val="28"/>
        </w:numPr>
        <w:spacing w:after="0" w:line="240" w:lineRule="auto"/>
        <w:ind w:left="1701" w:hanging="261"/>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Rincian aset wakaf yang diserahkan kepada nazhir pada periode berjalan, peruntukan, dan jangka waktunya;</w:t>
      </w:r>
    </w:p>
    <w:p w14:paraId="7FDFB310" w14:textId="77777777" w:rsidR="00D50321" w:rsidRPr="0041486A" w:rsidRDefault="00D50321" w:rsidP="00D50321">
      <w:pPr>
        <w:pStyle w:val="ListParagraph"/>
        <w:numPr>
          <w:ilvl w:val="0"/>
          <w:numId w:val="28"/>
        </w:numPr>
        <w:spacing w:after="0" w:line="240" w:lineRule="auto"/>
        <w:ind w:left="1701" w:hanging="261"/>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Penjelasan mengenai total aset wakaf temporer;</w:t>
      </w:r>
    </w:p>
    <w:p w14:paraId="43E57123" w14:textId="77777777" w:rsidR="00D50321" w:rsidRPr="0041486A" w:rsidRDefault="00D50321" w:rsidP="00D50321">
      <w:pPr>
        <w:pStyle w:val="ListParagraph"/>
        <w:numPr>
          <w:ilvl w:val="0"/>
          <w:numId w:val="26"/>
        </w:num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Hubungan pihak berelasi antara wakif, nazhir, dan/ atau penerima manfaat wakaf, jika ada yang meliputi:</w:t>
      </w:r>
    </w:p>
    <w:p w14:paraId="54321D29" w14:textId="77777777" w:rsidR="00D50321" w:rsidRPr="0041486A" w:rsidRDefault="00D50321" w:rsidP="00D50321">
      <w:pPr>
        <w:pStyle w:val="ListParagraph"/>
        <w:numPr>
          <w:ilvl w:val="0"/>
          <w:numId w:val="29"/>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Sifat hubungan;</w:t>
      </w:r>
    </w:p>
    <w:p w14:paraId="219598BF" w14:textId="77777777" w:rsidR="00D50321" w:rsidRPr="0041486A" w:rsidRDefault="00D50321" w:rsidP="00D50321">
      <w:pPr>
        <w:pStyle w:val="ListParagraph"/>
        <w:numPr>
          <w:ilvl w:val="0"/>
          <w:numId w:val="29"/>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Jumlah dan jenis aset wakaf dan/atau temporer;</w:t>
      </w:r>
    </w:p>
    <w:p w14:paraId="03118B9E" w14:textId="77777777" w:rsidR="00D50321" w:rsidRPr="0041486A" w:rsidRDefault="00D50321" w:rsidP="00D50321">
      <w:pPr>
        <w:pStyle w:val="ListParagraph"/>
        <w:numPr>
          <w:ilvl w:val="0"/>
          <w:numId w:val="29"/>
        </w:numPr>
        <w:spacing w:after="0" w:line="240" w:lineRule="auto"/>
        <w:ind w:left="1843" w:hanging="403"/>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Persentase penyaluran manfaat wakaf dari total penyaluran manfaat wakaf selama periode berjalan.</w:t>
      </w:r>
    </w:p>
    <w:p w14:paraId="58C8A217" w14:textId="45738BE5" w:rsidR="004F3FC0" w:rsidRPr="0041486A" w:rsidRDefault="004F3FC0" w:rsidP="004F3FC0">
      <w:pPr>
        <w:autoSpaceDE w:val="0"/>
        <w:autoSpaceDN w:val="0"/>
        <w:adjustRightInd w:val="0"/>
        <w:spacing w:after="0" w:line="240" w:lineRule="auto"/>
        <w:jc w:val="both"/>
        <w:rPr>
          <w:rFonts w:ascii="Bookman Old Style" w:hAnsi="Bookman Old Style" w:cstheme="majorBidi"/>
          <w:color w:val="000000" w:themeColor="text1"/>
          <w:sz w:val="20"/>
          <w:szCs w:val="20"/>
        </w:rPr>
      </w:pPr>
      <w:r w:rsidRPr="0041486A">
        <w:rPr>
          <w:rFonts w:ascii="Bookman Old Style" w:eastAsia="Garamond" w:hAnsi="Bookman Old Style" w:cs="Garamond"/>
          <w:color w:val="000000" w:themeColor="text1"/>
          <w:sz w:val="20"/>
          <w:szCs w:val="20"/>
          <w:lang w:val="en-US"/>
        </w:rPr>
        <w:tab/>
      </w:r>
      <w:r w:rsidR="002508EA" w:rsidRPr="0041486A">
        <w:rPr>
          <w:rFonts w:ascii="Bookman Old Style" w:eastAsia="Garamond" w:hAnsi="Bookman Old Style" w:cs="Garamond"/>
          <w:color w:val="000000" w:themeColor="text1"/>
          <w:sz w:val="20"/>
          <w:szCs w:val="20"/>
          <w:lang w:val="en-US"/>
        </w:rPr>
        <w:t>Pengelolaan dan pengaturan wakaf berdasarkan syariat Islam</w:t>
      </w:r>
      <w:r w:rsidRPr="0041486A">
        <w:rPr>
          <w:rFonts w:ascii="Bookman Old Style" w:eastAsia="Garamond" w:hAnsi="Bookman Old Style" w:cs="Garamond"/>
          <w:color w:val="000000" w:themeColor="text1"/>
          <w:sz w:val="20"/>
          <w:szCs w:val="20"/>
          <w:lang w:val="en-US"/>
        </w:rPr>
        <w:t xml:space="preserve"> t</w:t>
      </w:r>
      <w:r w:rsidRPr="0041486A">
        <w:rPr>
          <w:rFonts w:ascii="Bookman Old Style" w:hAnsi="Bookman Old Style" w:cstheme="majorBidi"/>
          <w:color w:val="000000" w:themeColor="text1"/>
          <w:sz w:val="20"/>
          <w:szCs w:val="20"/>
        </w:rPr>
        <w:t xml:space="preserve">ujuan adanya harta benda wakaf juga diarahkan untuk meningkatkan ekonomi masyarakat miskin khusus umat Islam </w:t>
      </w:r>
      <w:r w:rsidRPr="0041486A">
        <w:rPr>
          <w:rFonts w:ascii="Bookman Old Style" w:hAnsi="Bookman Old Style" w:cstheme="majorBidi"/>
          <w:color w:val="000000" w:themeColor="text1"/>
          <w:sz w:val="20"/>
          <w:szCs w:val="20"/>
        </w:rPr>
        <w:fldChar w:fldCharType="begin" w:fldLock="1"/>
      </w:r>
      <w:r w:rsidRPr="0041486A">
        <w:rPr>
          <w:rFonts w:ascii="Bookman Old Style" w:hAnsi="Bookman Old Style" w:cstheme="majorBidi"/>
          <w:color w:val="000000" w:themeColor="text1"/>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approach.","author":[{"dropping-particle":"","family":"Mulyasari","given":"Windu","non-dropping-particle":"","parse-names":false,"suffix":""}],"container-title":"Jurnal Riset Akuntansi Terpadu","id":"ITEM-1","issued":{"date-parts":[["2017"]]},"page":"16-28","title":"Sistem Akuntansi Wakaf sebagai Bentuk Pertanggungjawaban Harta Wakaf ke Publik","type":"article-journal","volume":"10(1)"},"uris":["http://www.mendeley.com/documents/?uuid=a83b3018-62d1-4d68-8d36-48db9de1656d"]}],"mendeley":{"formattedCitation":"(Mulyasari, 2017)","plainTextFormattedCitation":"(Mulyasari, 2017)","previouslyFormattedCitation":"(Mulyasari, 2017)"},"properties":{"noteIndex":0},"schema":"https://github.com/citation-style-language/schema/raw/master/csl-citation.json"}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Pr="0041486A">
        <w:rPr>
          <w:rFonts w:ascii="Bookman Old Style" w:hAnsi="Bookman Old Style" w:cstheme="majorBidi"/>
          <w:color w:val="000000" w:themeColor="text1"/>
          <w:sz w:val="20"/>
          <w:szCs w:val="20"/>
        </w:rPr>
        <w:t>(Mulyasari, 2017)</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Hal ini dijelaskan dalam Al- Qur’an Surah Ali Imran ayat 92:</w:t>
      </w:r>
    </w:p>
    <w:p w14:paraId="23FF42E5" w14:textId="77777777" w:rsidR="004F3FC0" w:rsidRPr="0041486A" w:rsidRDefault="004F3FC0" w:rsidP="004F3FC0">
      <w:pPr>
        <w:autoSpaceDE w:val="0"/>
        <w:autoSpaceDN w:val="0"/>
        <w:adjustRightInd w:val="0"/>
        <w:spacing w:after="0" w:line="240" w:lineRule="auto"/>
        <w:ind w:left="720"/>
        <w:jc w:val="both"/>
        <w:rPr>
          <w:rFonts w:ascii="Bookman Old Style" w:hAnsi="Bookman Old Style" w:cstheme="majorBidi"/>
          <w:i/>
          <w:color w:val="000000" w:themeColor="text1"/>
          <w:sz w:val="20"/>
          <w:szCs w:val="20"/>
          <w:shd w:val="clear" w:color="auto" w:fill="FFFFFF"/>
        </w:rPr>
      </w:pPr>
      <w:r w:rsidRPr="0041486A">
        <w:rPr>
          <w:rFonts w:ascii="Bookman Old Style" w:hAnsi="Bookman Old Style" w:cs="Times New Roman"/>
          <w:color w:val="000000" w:themeColor="text1"/>
          <w:sz w:val="20"/>
          <w:szCs w:val="20"/>
          <w:shd w:val="clear" w:color="auto" w:fill="FFFEFC"/>
          <w:rtl/>
        </w:rPr>
        <w:t>لَن تَنَالُوا۟ ٱلْبِرَّ حَتَّىٰ تُنفِقُوا۟ مِمَّا تُحِبُّونَ ۚ وَمَا تُنفِقُوا۟ مِن شَىْءٍ فَإِنَّ ٱللَّهَ بِهِۦ عَلِيمٌ</w:t>
      </w:r>
      <w:r w:rsidRPr="0041486A">
        <w:rPr>
          <w:rFonts w:ascii="Bookman Old Style" w:hAnsi="Bookman Old Style" w:cs="Helvetica"/>
          <w:color w:val="000000" w:themeColor="text1"/>
          <w:sz w:val="20"/>
          <w:szCs w:val="20"/>
        </w:rPr>
        <w:br/>
      </w:r>
      <w:r w:rsidRPr="0041486A">
        <w:rPr>
          <w:rFonts w:ascii="Bookman Old Style" w:hAnsi="Bookman Old Style" w:cstheme="majorBidi"/>
          <w:i/>
          <w:color w:val="000000" w:themeColor="text1"/>
          <w:sz w:val="20"/>
          <w:szCs w:val="20"/>
          <w:shd w:val="clear" w:color="auto" w:fill="FFFFFF"/>
        </w:rPr>
        <w:t>“Kamu sekali-kali tidak sampai kepada kebajikan (yang sempurna) sebelum kamu menafkahkan sebagian dari apa yang kamu cintai.” (Q.S. Ali Imran (3): 92).</w:t>
      </w:r>
    </w:p>
    <w:p w14:paraId="0AF1B65F" w14:textId="20785D66" w:rsidR="004F3FC0" w:rsidRPr="0041486A" w:rsidRDefault="004F3FC0" w:rsidP="004F3FC0">
      <w:pPr>
        <w:autoSpaceDE w:val="0"/>
        <w:autoSpaceDN w:val="0"/>
        <w:adjustRightInd w:val="0"/>
        <w:spacing w:after="0" w:line="240" w:lineRule="auto"/>
        <w:jc w:val="both"/>
        <w:rPr>
          <w:rFonts w:ascii="Bookman Old Style" w:hAnsi="Bookman Old Style" w:cstheme="majorBidi"/>
          <w:color w:val="000000" w:themeColor="text1"/>
          <w:sz w:val="20"/>
          <w:szCs w:val="20"/>
          <w:lang w:val="en-US"/>
        </w:rPr>
      </w:pPr>
      <w:r w:rsidRPr="0041486A">
        <w:rPr>
          <w:rFonts w:ascii="Bookman Old Style" w:hAnsi="Bookman Old Style" w:cstheme="majorBidi"/>
          <w:color w:val="000000" w:themeColor="text1"/>
          <w:sz w:val="20"/>
          <w:szCs w:val="20"/>
          <w:lang w:val="en-US"/>
        </w:rPr>
        <w:tab/>
      </w:r>
      <w:r w:rsidRPr="0041486A">
        <w:rPr>
          <w:rFonts w:ascii="Bookman Old Style" w:hAnsi="Bookman Old Style" w:cstheme="majorBidi"/>
          <w:color w:val="000000" w:themeColor="text1"/>
          <w:sz w:val="20"/>
          <w:szCs w:val="20"/>
        </w:rPr>
        <w:t xml:space="preserve">Untuk memudahkan pengawasan diperlukan adanya administrasi yang tertib baik di tingkat kecamatan, kabupaten, provinsi dan pusat. Pengawasan dan bimbingan perwakafan tanah dilakukan oleh unit-unit organisasi Departemen Agama, secara hierarki sebagaimana diatur dalam Keputusan Menteri Agama tentang Susunan Organisasi dan Tata Kerja Departemen Agama, yang tertuang pada Peraturan Menteri Agama Nomor 1 Tahun 1978 pasal 14 </w:t>
      </w:r>
      <w:r w:rsidRPr="0041486A">
        <w:rPr>
          <w:rFonts w:ascii="Bookman Old Style" w:hAnsi="Bookman Old Style" w:cstheme="majorBidi"/>
          <w:color w:val="000000" w:themeColor="text1"/>
          <w:sz w:val="20"/>
          <w:szCs w:val="20"/>
        </w:rPr>
        <w:fldChar w:fldCharType="begin" w:fldLock="1"/>
      </w:r>
      <w:r w:rsidRPr="0041486A">
        <w:rPr>
          <w:rFonts w:ascii="Bookman Old Style" w:hAnsi="Bookman Old Style" w:cstheme="majorBidi"/>
          <w:color w:val="000000" w:themeColor="text1"/>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approach.","author":[{"dropping-particle":"","family":"Mulyasari","given":"Windu","non-dropping-particle":"","parse-names":false,"suffix":""}],"container-title":"Jurnal Riset Akuntansi Terpadu","id":"ITEM-1","issued":{"date-parts":[["2017"]]},"page":"16-28","title":"Sistem Akuntansi Wakaf sebagai Bentuk Pertanggungjawaban Harta Wakaf ke Publik","type":"article-journal","volume":"10(1)"},"uris":["http://www.mendeley.com/documents/?uuid=a83b3018-62d1-4d68-8d36-48db9de1656d"]}],"mendeley":{"formattedCitation":"(Mulyasari, 2017)","plainTextFormattedCitation":"(Mulyasari, 2017)","previouslyFormattedCitation":"(Mulyasari, 2017)"},"properties":{"noteIndex":0},"schema":"https://github.com/citation-style-language/schema/raw/master/csl-citation.json"}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Pr="0041486A">
        <w:rPr>
          <w:rFonts w:ascii="Bookman Old Style" w:hAnsi="Bookman Old Style" w:cstheme="majorBidi"/>
          <w:color w:val="000000" w:themeColor="text1"/>
          <w:sz w:val="20"/>
          <w:szCs w:val="20"/>
        </w:rPr>
        <w:t>(Mulyasari, 2017)</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xml:space="preserve">. Beberapa agenda yang perlu difokuskan untuk menyelesaikan beberapa persoalan wakaf adalah memberikan pemahaman kepada masyarakat yang baik dan benar tentang hukum wakaf, baik dari segi Rukun dan Syarat wakaf dan tujuan disyari’atkannya wakaf </w:t>
      </w:r>
      <w:r w:rsidRPr="0041486A">
        <w:rPr>
          <w:rFonts w:ascii="Bookman Old Style" w:hAnsi="Bookman Old Style" w:cstheme="majorBidi"/>
          <w:color w:val="000000" w:themeColor="text1"/>
          <w:sz w:val="20"/>
          <w:szCs w:val="20"/>
        </w:rPr>
        <w:fldChar w:fldCharType="begin" w:fldLock="1"/>
      </w:r>
      <w:r w:rsidR="00C77BAA" w:rsidRPr="0041486A">
        <w:rPr>
          <w:rFonts w:ascii="Bookman Old Style" w:hAnsi="Bookman Old Style" w:cstheme="majorBidi"/>
          <w:color w:val="000000" w:themeColor="text1"/>
          <w:sz w:val="20"/>
          <w:szCs w:val="20"/>
        </w:rPr>
        <w:instrText>ADDIN CSL_CITATION {"citationItems":[{"id":"ITEM-1","itemData":{"DOI":"10.35313/ekspansi.v11i1.1328","ISSN":"2085-5230","abstract":"Abstract: The low collection of cash waqf is one of them due to the level of public understanding of cash waqf. This research aims to describe the characteristics of respondents based on the socio-economic demography of the Muslim Academic Community; and analyze of factors of influence people's perceptions of cash waqf in the Muslim Academic Community. The research method used is logistic regression analysis. The sample in this study were 138 respondents who were The Muslim Academic Community in Jabodetabek. The results showed that the respondents' characteristics of the sex of most women, aged between 20 years and less than 25 years, had income of less than Rp 3 million per month, were not married, had family members between 3 and 5 people, less than 2 people worked , have family responsibilities, students in university, have not worked, Private Universities in Central Jakarta, and the majority have never doing cash waqf. The results of the logistic regression analysis indicate that a person's level of faith and one's age can significantly influence perceptions of doing cash waqf. Keywords: Perception, Cash Waqf, Muslim Academic Community, Logistic Regression.","author":[{"dropping-particle":"","family":"Huda","given":"Nurul","non-dropping-particle":"","parse-names":false,"suffix":""},{"dropping-particle":"","family":"Sentosa","given":"Perdana Wahyu","non-dropping-particle":"","parse-names":false,"suffix":""},{"dropping-particle":"","family":"Novarini","given":"Novarini","non-dropping-particle":"","parse-names":false,"suffix":""}],"container-title":"Ekspansi: Jurnal Ekonomi, Keuangan, Perbankan dan Akuntansi","id":"ITEM-1","issued":{"date-parts":[["2019"]]},"page":"77-86","title":"Persepsi Sivitas Akademika Muslim Terhadap Wakaf Uang","type":"article-journal","volume":"11(1)"},"uris":["http://www.mendeley.com/documents/?uuid=c07260b4-a81d-4139-a69f-a2514fc27c87"]}],"mendeley":{"formattedCitation":"(Huda et al., 2019)","plainTextFormattedCitation":"(Huda et al., 2019)","previouslyFormattedCitation":"(Huda et al., 2019)"},"properties":{"noteIndex":0},"schema":"https://github.com/citation-style-language/schema/raw/master/csl-citation.json"}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00C77BAA" w:rsidRPr="0041486A">
        <w:rPr>
          <w:rFonts w:ascii="Bookman Old Style" w:hAnsi="Bookman Old Style" w:cstheme="majorBidi"/>
          <w:color w:val="000000" w:themeColor="text1"/>
          <w:sz w:val="20"/>
          <w:szCs w:val="20"/>
        </w:rPr>
        <w:t>(Huda et al., 2019)</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xml:space="preserve">. Kedua, perlu dilakukan sosialisasi Undang-undang Wakaf kepada masyarakat. Ketiga, penyediaan sumber daya manusia nazhir yang profesional sekaligus sebagai pekerja khusus yang diserahi tugas untuk mengelola institusi wakaf yang mendapat imbalan dari pekerjaannya itu. Ketiga agenda yang difokuskan dalam menyelesaikan persoalan </w:t>
      </w:r>
      <w:r w:rsidRPr="0041486A">
        <w:rPr>
          <w:rFonts w:ascii="Bookman Old Style" w:hAnsi="Bookman Old Style" w:cstheme="majorBidi"/>
          <w:color w:val="000000" w:themeColor="text1"/>
          <w:sz w:val="20"/>
          <w:szCs w:val="20"/>
        </w:rPr>
        <w:lastRenderedPageBreak/>
        <w:t xml:space="preserve">wakaf menunjukkan perlu adanya akuntabilitas dalam pengelolaan wakaf. Pengelolaan wakaf tidak hanya dari unsur pemerintah, tapi juga dari masyarakat. Lembaga pengelola wakaf yang ada saat ini lebih banyak yang dikelola oleh masyarakat bukan pemerintah </w:t>
      </w:r>
      <w:r w:rsidRPr="0041486A">
        <w:rPr>
          <w:rFonts w:ascii="Bookman Old Style" w:hAnsi="Bookman Old Style" w:cstheme="majorBidi"/>
          <w:color w:val="000000" w:themeColor="text1"/>
          <w:sz w:val="20"/>
          <w:szCs w:val="20"/>
        </w:rPr>
        <w:fldChar w:fldCharType="begin" w:fldLock="1"/>
      </w:r>
      <w:r w:rsidRPr="0041486A">
        <w:rPr>
          <w:rFonts w:ascii="Bookman Old Style" w:hAnsi="Bookman Old Style" w:cstheme="majorBidi"/>
          <w:color w:val="000000" w:themeColor="text1"/>
          <w:sz w:val="20"/>
          <w:szCs w:val="20"/>
        </w:rPr>
        <w:instrText>ADDIN CSL_CITATION {"citationItems":[{"id":"ITEM-1","itemData":{"DOI":"10.18202/jamal.2014.12.5036","ISSN":"2089-5879","abstract":"Accountability as A Waqf Management Solution. This article aims to analyze the priority issue and solution about waqf management using AHP. The analysis showed that the priority issue of waqf management lies on the low pro- fessionalism and competence of nazhir, so the waqf management is not optimal. Since nazhir is not accountable, wakif submits waqf property personally instead of going through waqf management institutions. The solution of the problem of waqf managing are increasing incentives and intensive training for Nazhir. The solution offered by this study relates to increased accountability in the waqf management. By forming professionalism in waqf management, public trust can be improved","author":[{"dropping-particle":"","family":"Huda","given":"Nurul","non-dropping-particle":"","parse-names":false,"suffix":""},{"dropping-particle":"","family":"Anggraini","given":"Desti","non-dropping-particle":"","parse-names":false,"suffix":""},{"dropping-particle":"","family":"Rini","given":"Nova","non-dropping-particle":"","parse-names":false,"suffix":""},{"dropping-particle":"","family":"Hudori","given":"Khamim","non-dropping-particle":"","parse-names":false,"suffix":""},{"dropping-particle":"","family":"Mardoni","given":"Yosi","non-dropping-particle":"","parse-names":false,"suffix":""}],"container-title":"Jurnal Akuntansi Multiparadigma","id":"ITEM-1","issued":{"date-parts":[["2014"]]},"page":"485-497","title":"Akuntabilitas sebagai Sebuah Solusi Pengelolaan Wakaf","type":"article-journal","volume":"5(3)"},"uris":["http://www.mendeley.com/documents/?uuid=91ad6f10-eb0b-4b85-98fd-6db5b56a210f"]}],"mendeley":{"formattedCitation":"(Huda et al., 2014)","plainTextFormattedCitation":"(Huda et al., 2014)","previouslyFormattedCitation":"(Huda et al., 2014)"},"properties":{"noteIndex":0},"schema":"https://github.com/citation-style-language/schema/raw/master/csl-citation.json"}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Pr="0041486A">
        <w:rPr>
          <w:rFonts w:ascii="Bookman Old Style" w:hAnsi="Bookman Old Style" w:cstheme="majorBidi"/>
          <w:color w:val="000000" w:themeColor="text1"/>
          <w:sz w:val="20"/>
          <w:szCs w:val="20"/>
        </w:rPr>
        <w:t xml:space="preserve">(Huda </w:t>
      </w:r>
      <w:r w:rsidRPr="0041486A">
        <w:rPr>
          <w:rFonts w:ascii="Bookman Old Style" w:hAnsi="Bookman Old Style" w:cstheme="majorBidi"/>
          <w:i/>
          <w:iCs/>
          <w:color w:val="000000" w:themeColor="text1"/>
          <w:sz w:val="20"/>
          <w:szCs w:val="20"/>
        </w:rPr>
        <w:t>et al.</w:t>
      </w:r>
      <w:r w:rsidRPr="0041486A">
        <w:rPr>
          <w:rFonts w:ascii="Bookman Old Style" w:hAnsi="Bookman Old Style" w:cstheme="majorBidi"/>
          <w:color w:val="000000" w:themeColor="text1"/>
          <w:sz w:val="20"/>
          <w:szCs w:val="20"/>
        </w:rPr>
        <w:t>, 2014)</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xml:space="preserve">. </w:t>
      </w:r>
    </w:p>
    <w:p w14:paraId="76151FBC" w14:textId="3993956D" w:rsidR="004F3FC0" w:rsidRPr="0041486A" w:rsidRDefault="004F3FC0" w:rsidP="004F3FC0">
      <w:pPr>
        <w:spacing w:after="0" w:line="240" w:lineRule="auto"/>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lang w:val="en-US"/>
        </w:rPr>
        <w:tab/>
      </w:r>
      <w:r w:rsidR="002508EA" w:rsidRPr="0041486A">
        <w:rPr>
          <w:rFonts w:ascii="Bookman Old Style" w:eastAsia="Garamond" w:hAnsi="Bookman Old Style" w:cs="Garamond"/>
          <w:color w:val="000000" w:themeColor="text1"/>
          <w:sz w:val="20"/>
          <w:szCs w:val="20"/>
          <w:lang w:val="en-US"/>
        </w:rPr>
        <w:t>Akuntansi wakaf dalam mencapai kemaslahatan umat</w:t>
      </w:r>
      <w:r w:rsidRPr="0041486A">
        <w:rPr>
          <w:rFonts w:ascii="Bookman Old Style" w:eastAsia="Garamond" w:hAnsi="Bookman Old Style" w:cs="Garamond"/>
          <w:color w:val="000000" w:themeColor="text1"/>
          <w:sz w:val="20"/>
          <w:szCs w:val="20"/>
          <w:lang w:val="en-US"/>
        </w:rPr>
        <w:t xml:space="preserve">. Wakaf </w:t>
      </w:r>
      <w:r w:rsidRPr="0041486A">
        <w:rPr>
          <w:rFonts w:ascii="Bookman Old Style" w:hAnsi="Bookman Old Style" w:cstheme="majorBidi"/>
          <w:color w:val="000000" w:themeColor="text1"/>
          <w:sz w:val="20"/>
          <w:szCs w:val="20"/>
        </w:rPr>
        <w:t xml:space="preserve">telah menjadi salah satu alternatif pendistribusian kekayaan guna mencapai pembangunan ekonomi. Hal tersebut karena wakaf memainkan peranan penting untuk menyediakan sarana pendidikan, kesehatan, sarana ibadah, serta fasilitas umum lainnya </w:t>
      </w:r>
      <w:r w:rsidRPr="0041486A">
        <w:rPr>
          <w:rFonts w:ascii="Bookman Old Style" w:hAnsi="Bookman Old Style" w:cstheme="majorBidi"/>
          <w:color w:val="000000" w:themeColor="text1"/>
          <w:sz w:val="20"/>
          <w:szCs w:val="20"/>
        </w:rPr>
        <w:fldChar w:fldCharType="begin" w:fldLock="1"/>
      </w:r>
      <w:r w:rsidR="00C77BAA" w:rsidRPr="0041486A">
        <w:rPr>
          <w:rFonts w:ascii="Bookman Old Style" w:hAnsi="Bookman Old Style" w:cstheme="majorBidi"/>
          <w:color w:val="000000" w:themeColor="text1"/>
          <w:sz w:val="20"/>
          <w:szCs w:val="20"/>
        </w:rPr>
        <w:instrText>ADDIN CSL_CITATION {"citationItems":[{"id":"ITEM-1","itemData":{"author":[{"dropping-particle":"","family":"Nisa","given":"Fadlun","non-dropping-particle":"","parse-names":false,"suffix":""},{"dropping-particle":"","family":"Bayuni","given":"Eva Misfah","non-dropping-particle":"","parse-names":false,"suffix":""},{"dropping-particle":"","family":"Eprianti","given":"Nanik","non-dropping-particle":"","parse-names":false,"suffix":""}],"container-title":"Prosiding Hukum Ekonomi Syariah","id":"ITEM-1","issued":{"date-parts":[["2019"]]},"page":"641-648","title":"Efektivitas Pelayanan Penghimpunan Dana Wakaf terhadap Kepuasan Donatur di Sinergi Foundation Menggunakan Metode DEA","type":"article-journal","volume":"5(2)"},"uris":["http://www.mendeley.com/documents/?uuid=4f04fac0-fc75-4efb-9685-ddef1ce6b727"]}],"mendeley":{"formattedCitation":"(Nisa et al., 2019)","manualFormatting":"(Nisa et al., 2019)","plainTextFormattedCitation":"(Nisa et al., 2019)","previouslyFormattedCitation":"(Nisa et al., 2019)"},"properties":{"noteIndex":0},"schema":"https://github.com/citation-style-language/schema/raw/master/csl-citation.json"}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Pr="0041486A">
        <w:rPr>
          <w:rFonts w:ascii="Bookman Old Style" w:hAnsi="Bookman Old Style" w:cstheme="majorBidi"/>
          <w:color w:val="000000" w:themeColor="text1"/>
          <w:sz w:val="20"/>
          <w:szCs w:val="20"/>
        </w:rPr>
        <w:t xml:space="preserve">(Nisa </w:t>
      </w:r>
      <w:r w:rsidRPr="0041486A">
        <w:rPr>
          <w:rFonts w:ascii="Bookman Old Style" w:hAnsi="Bookman Old Style" w:cstheme="majorBidi"/>
          <w:i/>
          <w:iCs/>
          <w:color w:val="000000" w:themeColor="text1"/>
          <w:sz w:val="20"/>
          <w:szCs w:val="20"/>
        </w:rPr>
        <w:t>et al</w:t>
      </w:r>
      <w:r w:rsidRPr="0041486A">
        <w:rPr>
          <w:rFonts w:ascii="Bookman Old Style" w:hAnsi="Bookman Old Style" w:cstheme="majorBidi"/>
          <w:color w:val="000000" w:themeColor="text1"/>
          <w:sz w:val="20"/>
          <w:szCs w:val="20"/>
        </w:rPr>
        <w:t>., 2019)</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xml:space="preserve">. </w:t>
      </w:r>
      <w:r w:rsidRPr="0041486A">
        <w:rPr>
          <w:rFonts w:ascii="Bookman Old Style" w:hAnsi="Bookman Old Style" w:cstheme="majorBidi"/>
          <w:color w:val="000000" w:themeColor="text1"/>
          <w:sz w:val="20"/>
          <w:szCs w:val="20"/>
        </w:rPr>
        <w:fldChar w:fldCharType="begin" w:fldLock="1"/>
      </w:r>
      <w:r w:rsidRPr="0041486A">
        <w:rPr>
          <w:rFonts w:ascii="Bookman Old Style" w:hAnsi="Bookman Old Style" w:cstheme="majorBidi"/>
          <w:color w:val="000000" w:themeColor="text1"/>
          <w:sz w:val="20"/>
          <w:szCs w:val="20"/>
        </w:rPr>
        <w:instrText>ADDIN CSL_CITATION {"citationItems":[{"id":"ITEM-1","itemData":{"DOI":"10.18202/jamal.2014.12.5036","ISSN":"2089-5879","abstract":"Accountability as A Waqf Management Solution. This article aims to analyze the priority issue and solution about waqf management using AHP. The analysis showed that the priority issue of waqf management lies on the low pro- fessionalism and competence of nazhir, so the waqf management is not optimal. Since nazhir is not accountable, wakif submits waqf property personally instead of going through waqf management institutions. The solution of the problem of waqf managing are increasing incentives and intensive training for Nazhir. The solution offered by this study relates to increased accountability in the waqf management. By forming professionalism in waqf management, public trust can be improved","author":[{"dropping-particle":"","family":"Huda","given":"Nurul","non-dropping-particle":"","parse-names":false,"suffix":""},{"dropping-particle":"","family":"Anggraini","given":"Desti","non-dropping-particle":"","parse-names":false,"suffix":""},{"dropping-particle":"","family":"Rini","given":"Nova","non-dropping-particle":"","parse-names":false,"suffix":""},{"dropping-particle":"","family":"Hudori","given":"Khamim","non-dropping-particle":"","parse-names":false,"suffix":""},{"dropping-particle":"","family":"Mardoni","given":"Yosi","non-dropping-particle":"","parse-names":false,"suffix":""}],"container-title":"Jurnal Akuntansi Multiparadigma","id":"ITEM-1","issued":{"date-parts":[["2014"]]},"page":"485-497","title":"Akuntabilitas sebagai Sebuah Solusi Pengelolaan Wakaf","type":"article-journal","volume":"5(3)"},"uris":["http://www.mendeley.com/documents/?uuid=91ad6f10-eb0b-4b85-98fd-6db5b56a210f"]}],"mendeley":{"formattedCitation":"(Huda et al., 2014)","manualFormatting":"Huda et al. (2014)","plainTextFormattedCitation":"(Huda et al., 2014)","previouslyFormattedCitation":"(Huda et al., 2014)"},"properties":{"noteIndex":0},"schema":"https://github.com/citation-style-language/schema/raw/master/csl-citation.json"}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Pr="0041486A">
        <w:rPr>
          <w:rFonts w:ascii="Bookman Old Style" w:hAnsi="Bookman Old Style" w:cstheme="majorBidi"/>
          <w:color w:val="000000" w:themeColor="text1"/>
          <w:sz w:val="20"/>
          <w:szCs w:val="20"/>
        </w:rPr>
        <w:t xml:space="preserve">Huda </w:t>
      </w:r>
      <w:r w:rsidRPr="0041486A">
        <w:rPr>
          <w:rFonts w:ascii="Bookman Old Style" w:hAnsi="Bookman Old Style" w:cstheme="majorBidi"/>
          <w:i/>
          <w:iCs/>
          <w:color w:val="000000" w:themeColor="text1"/>
          <w:sz w:val="20"/>
          <w:szCs w:val="20"/>
        </w:rPr>
        <w:t>et al.</w:t>
      </w:r>
      <w:r w:rsidRPr="0041486A">
        <w:rPr>
          <w:rFonts w:ascii="Bookman Old Style" w:hAnsi="Bookman Old Style" w:cstheme="majorBidi"/>
          <w:color w:val="000000" w:themeColor="text1"/>
          <w:sz w:val="20"/>
          <w:szCs w:val="20"/>
        </w:rPr>
        <w:t xml:space="preserve"> (2014)</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xml:space="preserve"> menjelaskan bahwa masih banyak masalah-masalah yang dihadapi dalam pengelolaan tanah-tanah wakaf secara produktif. Disamping itu, pengetahuan dan pemahaman nazhir terhadap peraturan perwakafan masih kurang. Dengan kondisi seperti ini, tanah-tanah wakaf agak sulit untuk dikelola secara produktif sesuai dengan ketentuan hukum Islam maupun ketentuan peraturan perundang-undangan yang berlaku karena para nazhir kurang profesional dan kesulitan dana untuk biaya pengelolaannya </w:t>
      </w:r>
      <w:r w:rsidRPr="0041486A">
        <w:rPr>
          <w:rFonts w:ascii="Bookman Old Style" w:hAnsi="Bookman Old Style" w:cstheme="majorBidi"/>
          <w:color w:val="000000" w:themeColor="text1"/>
          <w:sz w:val="20"/>
          <w:szCs w:val="20"/>
        </w:rPr>
        <w:fldChar w:fldCharType="begin" w:fldLock="1"/>
      </w:r>
      <w:r w:rsidRPr="0041486A">
        <w:rPr>
          <w:rFonts w:ascii="Bookman Old Style" w:hAnsi="Bookman Old Style" w:cstheme="majorBidi"/>
          <w:color w:val="000000" w:themeColor="text1"/>
          <w:sz w:val="20"/>
          <w:szCs w:val="20"/>
        </w:rPr>
        <w:instrText>ADDIN CSL_CITATION {"citationItems":[{"id":"ITEM-1","itemData":{"DOI":"10.15408/etk.v15i1.3110","ISSN":"1412-8969","abstract":"In practice, waqf in Indonesia faces many hard problems, because commonly known as non-productive waqf. Talking about waqf, it’s not only as religious rituality but also could touch humanity aspect by empowering its potency to maximize public wealth. On the other hand, the research related to waqf is still very lack, but it is very important to do. This study reviews on research around waqf. The study used descriptive statistical analysis based on 100 journal publications related to waqf, both national and international journal. The entire sample journal publications have published last 5 years from 2011 to 2015. Results show that the waqf research is still dominated by the discussion of non-cash waqf (62%) then the cash waqf (38%). This gives a general overview for researchers to produce better research related to cash waqf. In addition, comparison of quantitative research methods is still far less than the qualitative approach.DOI: 10.15408/etk.v15i1.3110","author":[{"dropping-particle":"","family":"Rusydiana","given":"Aam Slamet","non-dropping-particle":"","parse-names":false,"suffix":""},{"dropping-particle":"","family":"Farisi","given":"Salman","non-dropping-particle":"Al","parse-names":false,"suffix":""}],"container-title":"Etikonomi","id":"ITEM-1","issued":{"date-parts":[["2016"]]},"page":"31-42","title":"How Far Has Our Wakaf Been Researched?","type":"article-journal","volume":"15(1)"},"uris":["http://www.mendeley.com/documents/?uuid=a7e8b1a1-a2e7-455d-8fe9-48fbf13cbe80"]}],"mendeley":{"formattedCitation":"(Rusydiana &amp; Al Farisi, 2016)","plainTextFormattedCitation":"(Rusydiana &amp; Al Farisi, 2016)","previouslyFormattedCitation":"(Rusydiana &amp; Al Farisi, 2016)"},"properties":{"noteIndex":0},"schema":"https://github.com/citation-style-language/schema/raw/master/csl-citation.json"}</w:instrText>
      </w:r>
      <w:r w:rsidRPr="0041486A">
        <w:rPr>
          <w:rFonts w:ascii="Bookman Old Style" w:hAnsi="Bookman Old Style" w:cstheme="majorBidi"/>
          <w:color w:val="000000" w:themeColor="text1"/>
          <w:sz w:val="20"/>
          <w:szCs w:val="20"/>
        </w:rPr>
        <w:fldChar w:fldCharType="separate"/>
      </w:r>
      <w:r w:rsidRPr="0041486A">
        <w:rPr>
          <w:rFonts w:ascii="Bookman Old Style" w:hAnsi="Bookman Old Style" w:cstheme="majorBidi"/>
          <w:color w:val="000000" w:themeColor="text1"/>
          <w:sz w:val="20"/>
          <w:szCs w:val="20"/>
        </w:rPr>
        <w:t>(Rusydiana &amp; Al Farisi, 2016)</w:t>
      </w:r>
      <w:r w:rsidRPr="0041486A">
        <w:rPr>
          <w:rFonts w:ascii="Bookman Old Style" w:hAnsi="Bookman Old Style" w:cstheme="majorBidi"/>
          <w:color w:val="000000" w:themeColor="text1"/>
          <w:sz w:val="20"/>
          <w:szCs w:val="20"/>
        </w:rPr>
        <w:fldChar w:fldCharType="end"/>
      </w:r>
      <w:r w:rsidRPr="0041486A">
        <w:rPr>
          <w:rFonts w:ascii="Bookman Old Style" w:hAnsi="Bookman Old Style" w:cstheme="majorBidi"/>
          <w:color w:val="000000" w:themeColor="text1"/>
          <w:sz w:val="20"/>
          <w:szCs w:val="20"/>
        </w:rPr>
        <w:t>. Padahal, harta benda wakaf jika dikelola dan dikembangkan secara produktif, maka dapat diperuntukkan sebagai salah satu alternatif untuk membantu menanggulangi kemiskinan.</w:t>
      </w:r>
    </w:p>
    <w:p w14:paraId="0EF2C853" w14:textId="77777777" w:rsidR="000A7C53" w:rsidRPr="0041486A" w:rsidRDefault="000A7C53" w:rsidP="004F3FC0">
      <w:pPr>
        <w:autoSpaceDE w:val="0"/>
        <w:autoSpaceDN w:val="0"/>
        <w:adjustRightInd w:val="0"/>
        <w:spacing w:after="0" w:line="240" w:lineRule="auto"/>
        <w:ind w:left="540"/>
        <w:jc w:val="both"/>
        <w:rPr>
          <w:rFonts w:ascii="Bookman Old Style" w:hAnsi="Bookman Old Style" w:cstheme="majorBidi"/>
          <w:color w:val="000000" w:themeColor="text1"/>
          <w:sz w:val="20"/>
          <w:szCs w:val="20"/>
          <w:lang w:val="en-US"/>
        </w:rPr>
      </w:pPr>
    </w:p>
    <w:p w14:paraId="6E260453" w14:textId="77777777" w:rsidR="00E15747" w:rsidRPr="0041486A" w:rsidRDefault="00E15747" w:rsidP="00B23860">
      <w:pPr>
        <w:spacing w:after="0" w:line="240" w:lineRule="auto"/>
        <w:rPr>
          <w:rFonts w:ascii="Bookman Old Style" w:eastAsia="Garamond" w:hAnsi="Bookman Old Style" w:cs="Garamond"/>
          <w:b/>
          <w:color w:val="000000" w:themeColor="text1"/>
          <w:sz w:val="20"/>
          <w:szCs w:val="20"/>
        </w:rPr>
      </w:pPr>
      <w:r w:rsidRPr="0041486A">
        <w:rPr>
          <w:rFonts w:ascii="Bookman Old Style" w:eastAsia="Garamond" w:hAnsi="Bookman Old Style" w:cs="Garamond"/>
          <w:b/>
          <w:color w:val="000000" w:themeColor="text1"/>
          <w:sz w:val="20"/>
          <w:szCs w:val="20"/>
          <w:lang w:val="en-US"/>
        </w:rPr>
        <w:t>Metode Penelitian</w:t>
      </w:r>
    </w:p>
    <w:p w14:paraId="4DED1853" w14:textId="77777777" w:rsidR="00223D2C" w:rsidRPr="0041486A" w:rsidRDefault="00CB1256" w:rsidP="00B23860">
      <w:pPr>
        <w:spacing w:after="0" w:line="240" w:lineRule="auto"/>
        <w:ind w:firstLine="567"/>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Metode yang digunakan dalam penelitian ini adalah penelitian kualitatif dengan pendekatan fenomenologi. Penelitian ini dilaksanakan di Kementerian Agama Kabupaten Polewali Mandar divisi penyelenggara zakat dan wakaf Jl. Takatidung Kota Polewali,  Kabupaten Polewali Mandar, Sulawesi Barat. Jenis data yang digunakan dalam penelitian ini adalah jenis data subjek. Adapun sumber data pada penelitian ini adalah sumber data primer yang secara langsung diperoleh melalui sumber aslinya dalam hal ini informan</w:t>
      </w:r>
      <w:r w:rsidR="001907E8" w:rsidRPr="0041486A">
        <w:rPr>
          <w:rFonts w:ascii="Bookman Old Style" w:eastAsia="Garamond" w:hAnsi="Bookman Old Style" w:cs="Garamond"/>
          <w:color w:val="000000" w:themeColor="text1"/>
          <w:sz w:val="20"/>
          <w:szCs w:val="20"/>
          <w:lang w:val="en-US"/>
        </w:rPr>
        <w:t xml:space="preserve"> dan dilakukan wawancara secara mendalam untuk memperoleh informasi. Selain sumber data primer, dalam penelitian ini juga memperoleh data dari sumber data sekunder yang diperoleh melalui media perantara seperti catatan, laporan pendukun, referensi lainnya. </w:t>
      </w:r>
    </w:p>
    <w:p w14:paraId="3004A9D9" w14:textId="1BCAFD80" w:rsidR="00CB1256" w:rsidRPr="0041486A" w:rsidRDefault="001907E8" w:rsidP="00B23860">
      <w:pPr>
        <w:spacing w:after="0" w:line="240" w:lineRule="auto"/>
        <w:ind w:firstLine="567"/>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Dalam penelitian ini istilah yang digunakan untuk subjek penelitian adalah informan.</w:t>
      </w:r>
      <w:r w:rsidR="007B150E" w:rsidRPr="0041486A">
        <w:rPr>
          <w:rFonts w:ascii="Bookman Old Style" w:eastAsia="Garamond" w:hAnsi="Bookman Old Style" w:cs="Garamond"/>
          <w:color w:val="000000" w:themeColor="text1"/>
          <w:sz w:val="20"/>
          <w:szCs w:val="20"/>
          <w:lang w:val="en-US"/>
        </w:rPr>
        <w:t xml:space="preserve"> Metode pengumpulan data menggunakan teknik wawancara dokumentasi dan beberapa referensi. Data yang dikumpulkan kemudian direduksi, dianalisis, divalidasi, dan kemudian dibuatkan kesimpulan sebagai hasil penelitian. Dalam penelitian ini menggunakan uji keabsahan berupa uji credibility (validitas internal) dengan dua jenis triangulasi yaitu triangulasi teori dan triangulasi sumber data. </w:t>
      </w:r>
    </w:p>
    <w:p w14:paraId="3F94ED89" w14:textId="77777777" w:rsidR="00E15747" w:rsidRPr="0041486A" w:rsidRDefault="00E15747" w:rsidP="00B23860">
      <w:pPr>
        <w:tabs>
          <w:tab w:val="left" w:pos="2835"/>
        </w:tabs>
        <w:spacing w:after="0" w:line="240" w:lineRule="auto"/>
        <w:jc w:val="both"/>
        <w:rPr>
          <w:rFonts w:ascii="Bookman Old Style" w:eastAsia="Garamond" w:hAnsi="Bookman Old Style" w:cs="Garamond"/>
          <w:color w:val="000000" w:themeColor="text1"/>
          <w:sz w:val="20"/>
          <w:szCs w:val="20"/>
          <w:lang w:val="en-US"/>
        </w:rPr>
      </w:pPr>
    </w:p>
    <w:p w14:paraId="1778C38D" w14:textId="77777777" w:rsidR="000A7C53" w:rsidRPr="0041486A" w:rsidRDefault="000A7C53" w:rsidP="00B23860">
      <w:pPr>
        <w:tabs>
          <w:tab w:val="left" w:pos="2835"/>
        </w:tabs>
        <w:spacing w:after="0" w:line="240" w:lineRule="auto"/>
        <w:jc w:val="both"/>
        <w:rPr>
          <w:rFonts w:ascii="Bookman Old Style" w:eastAsia="Garamond" w:hAnsi="Bookman Old Style" w:cs="Garamond"/>
          <w:color w:val="000000" w:themeColor="text1"/>
          <w:sz w:val="20"/>
          <w:szCs w:val="20"/>
          <w:lang w:val="en-US"/>
        </w:rPr>
      </w:pPr>
    </w:p>
    <w:p w14:paraId="4F696E3F" w14:textId="77777777" w:rsidR="00E15747" w:rsidRPr="0041486A" w:rsidRDefault="00E15747" w:rsidP="00B23860">
      <w:pPr>
        <w:spacing w:after="0" w:line="240" w:lineRule="auto"/>
        <w:rPr>
          <w:rFonts w:ascii="Bookman Old Style" w:eastAsia="Garamond" w:hAnsi="Bookman Old Style" w:cs="Garamond"/>
          <w:b/>
          <w:color w:val="000000" w:themeColor="text1"/>
          <w:sz w:val="20"/>
          <w:szCs w:val="20"/>
          <w:lang w:val="en-US"/>
        </w:rPr>
      </w:pPr>
      <w:r w:rsidRPr="0041486A">
        <w:rPr>
          <w:rFonts w:ascii="Bookman Old Style" w:eastAsia="Garamond" w:hAnsi="Bookman Old Style" w:cs="Garamond"/>
          <w:b/>
          <w:color w:val="000000" w:themeColor="text1"/>
          <w:sz w:val="20"/>
          <w:szCs w:val="20"/>
          <w:lang w:val="en-US"/>
        </w:rPr>
        <w:t>Hasil dan Pembahasan</w:t>
      </w:r>
    </w:p>
    <w:p w14:paraId="437B1384" w14:textId="77777777" w:rsidR="006D320C" w:rsidRPr="0041486A" w:rsidRDefault="007F1BEB" w:rsidP="007F1BEB">
      <w:pPr>
        <w:spacing w:after="0" w:line="240" w:lineRule="auto"/>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ab/>
      </w:r>
      <w:r w:rsidR="00830A1B" w:rsidRPr="0041486A">
        <w:rPr>
          <w:rFonts w:ascii="Bookman Old Style" w:eastAsia="Garamond" w:hAnsi="Bookman Old Style" w:cs="Garamond"/>
          <w:color w:val="000000" w:themeColor="text1"/>
          <w:sz w:val="20"/>
          <w:szCs w:val="20"/>
          <w:lang w:val="en-US"/>
        </w:rPr>
        <w:t>Di Indonesia, wakaf diketahui semakin berkembang. Sehingga perlu adanya aturan dalam pengelolaan harta wakaf. Wakaf adalah memisahkan/ menyerahkan harta benda miliknya yang dipergunakan selamanya atau sesuai dengan kepentingan umat.</w:t>
      </w:r>
      <w:r w:rsidRPr="0041486A">
        <w:rPr>
          <w:rFonts w:ascii="Bookman Old Style" w:eastAsia="Garamond" w:hAnsi="Bookman Old Style" w:cs="Garamond"/>
          <w:color w:val="000000" w:themeColor="text1"/>
          <w:sz w:val="20"/>
          <w:szCs w:val="20"/>
          <w:lang w:val="en-US"/>
        </w:rPr>
        <w:t xml:space="preserve"> Adapun urgensi bagi umat adalah sebagai amal ibadah bagi wakif dan sebagai fasilitas umum untuk kesejahteraan umat. Merujuk kepada urgensinya, wakaf harus dikelola dengan hati-hati sesuai dengan standar yang berlaku. Namun, disinilah kendala kemudian muncul dimana secara spesifik perlakuan akuntansi untuk wakaf di Kementerian Agama Kabupaten Polewali Mandar belum terstandarisasi sesuai dengan PSAK 112 terkait wakaf. </w:t>
      </w:r>
    </w:p>
    <w:p w14:paraId="307D9888" w14:textId="3FF6C740" w:rsidR="00D56E31" w:rsidRPr="0041486A" w:rsidRDefault="006D320C" w:rsidP="00D56E31">
      <w:pPr>
        <w:spacing w:after="0" w:line="240" w:lineRule="auto"/>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ab/>
      </w:r>
      <w:r w:rsidR="007F1BEB" w:rsidRPr="0041486A">
        <w:rPr>
          <w:rFonts w:ascii="Bookman Old Style" w:eastAsia="Garamond" w:hAnsi="Bookman Old Style" w:cs="Garamond"/>
          <w:color w:val="000000" w:themeColor="text1"/>
          <w:sz w:val="20"/>
          <w:szCs w:val="20"/>
          <w:lang w:val="en-US"/>
        </w:rPr>
        <w:t xml:space="preserve">Standarisasi perlakuan akuntansi </w:t>
      </w:r>
      <w:r w:rsidR="007F1BEB" w:rsidRPr="0041486A">
        <w:rPr>
          <w:rFonts w:ascii="Bookman Old Style" w:hAnsi="Bookman Old Style" w:cstheme="majorBidi"/>
          <w:color w:val="000000" w:themeColor="text1"/>
          <w:sz w:val="20"/>
          <w:szCs w:val="20"/>
        </w:rPr>
        <w:t>sangat perlu dilakukan karena sebagai informasi kepada pihak-pihak yang berkepentingan atas wakaf, sehingga dapat dijadikan sumber pemanfaatan dan pengelolaan wakaf yang diperuntukkan bagi kesejahteraan umat yang kemudian dapat dipertanggungjawabkan kepada seluruh pemangku kepentingan atas wakaf yang dikelolanya. Standarisasi juga mampu menghadirkan profesionalisme dalam pengelolaan harta wakaf memberikan rasa aman bagi wakif juga kepada nazhir dalam mengelola harta wakaf. Olehnya itu, perlu adanya standarisasi sebagai pedoman yang lebih jelas dalam sistem pertanggungjawaban wakaf. Hal ini penting untuk dilakukan karena potensi harta wakaf yang cukup signifikan guna mensejahterakan umat.</w:t>
      </w:r>
      <w:r w:rsidR="000240AE" w:rsidRPr="0041486A">
        <w:rPr>
          <w:rFonts w:ascii="Bookman Old Style" w:hAnsi="Bookman Old Style" w:cstheme="majorBidi"/>
          <w:color w:val="000000" w:themeColor="text1"/>
          <w:sz w:val="20"/>
          <w:szCs w:val="20"/>
          <w:lang w:val="en-US"/>
        </w:rPr>
        <w:t xml:space="preserve"> </w:t>
      </w:r>
      <w:r w:rsidRPr="0041486A">
        <w:rPr>
          <w:rFonts w:ascii="Bookman Old Style" w:eastAsia="Garamond" w:hAnsi="Bookman Old Style" w:cs="Garamond"/>
          <w:color w:val="000000" w:themeColor="text1"/>
          <w:sz w:val="20"/>
          <w:szCs w:val="20"/>
          <w:lang w:val="en-US"/>
        </w:rPr>
        <w:t>Pengelolaan wakaf yang belum terstandarisasi tentunya harus ditelusuri mengingat urgensi dan peruntukannya mutlak untuk kepentingan umat.</w:t>
      </w:r>
      <w:r w:rsidR="00D56E31" w:rsidRPr="0041486A">
        <w:rPr>
          <w:rFonts w:ascii="Bookman Old Style" w:eastAsia="Garamond" w:hAnsi="Bookman Old Style" w:cs="Garamond"/>
          <w:color w:val="000000" w:themeColor="text1"/>
          <w:sz w:val="20"/>
          <w:szCs w:val="20"/>
          <w:lang w:val="en-US"/>
        </w:rPr>
        <w:t xml:space="preserve"> Hal seharusnya bisa lebih kompleks jika diintegrasikan dengan PSAK 112 tentang wakaf </w:t>
      </w:r>
      <w:r w:rsidR="00D56E31" w:rsidRPr="0041486A">
        <w:rPr>
          <w:rFonts w:ascii="Bookman Old Style" w:eastAsia="Garamond" w:hAnsi="Bookman Old Style" w:cs="Garamond"/>
          <w:color w:val="000000" w:themeColor="text1"/>
          <w:sz w:val="20"/>
          <w:szCs w:val="20"/>
          <w:lang w:val="en-US"/>
        </w:rPr>
        <w:lastRenderedPageBreak/>
        <w:t>dimana data tersebut harus jelas diakui sebagai apa, diukur dengan cara apa, disajikan sebagai apa dan diungkapkan sebagai apa. Hal ini akan membuat pengelolaan wakaf semakin terstruktur, akuntabel, dan transparan dari berbagai sisi.</w:t>
      </w:r>
    </w:p>
    <w:p w14:paraId="4B695A89" w14:textId="43AB3A71" w:rsidR="00D56E31" w:rsidRPr="0041486A" w:rsidRDefault="00D56E31" w:rsidP="00D56E31">
      <w:pPr>
        <w:spacing w:after="0" w:line="240" w:lineRule="auto"/>
        <w:jc w:val="both"/>
        <w:rPr>
          <w:rFonts w:ascii="Bookman Old Style" w:hAnsi="Bookman Old Style" w:cstheme="majorBidi"/>
          <w:color w:val="000000" w:themeColor="text1"/>
          <w:sz w:val="20"/>
          <w:szCs w:val="24"/>
          <w:lang w:val="en-US"/>
        </w:rPr>
      </w:pPr>
      <w:r w:rsidRPr="0041486A">
        <w:rPr>
          <w:rFonts w:ascii="Bookman Old Style" w:eastAsia="Garamond" w:hAnsi="Bookman Old Style" w:cs="Garamond"/>
          <w:color w:val="000000" w:themeColor="text1"/>
          <w:sz w:val="20"/>
          <w:szCs w:val="20"/>
          <w:lang w:val="en-US"/>
        </w:rPr>
        <w:tab/>
        <w:t xml:space="preserve">Terkait urgensi tersebut, </w:t>
      </w:r>
      <w:r w:rsidR="009B1138" w:rsidRPr="0041486A">
        <w:rPr>
          <w:rFonts w:ascii="Bookman Old Style" w:eastAsia="Garamond" w:hAnsi="Bookman Old Style" w:cs="Garamond"/>
          <w:color w:val="000000" w:themeColor="text1"/>
          <w:sz w:val="20"/>
          <w:szCs w:val="20"/>
          <w:lang w:val="en-US"/>
        </w:rPr>
        <w:fldChar w:fldCharType="begin" w:fldLock="1"/>
      </w:r>
      <w:r w:rsidR="00E753FA" w:rsidRPr="0041486A">
        <w:rPr>
          <w:rFonts w:ascii="Bookman Old Style" w:eastAsia="Garamond" w:hAnsi="Bookman Old Style" w:cs="Garamond"/>
          <w:color w:val="000000" w:themeColor="text1"/>
          <w:sz w:val="20"/>
          <w:szCs w:val="20"/>
          <w:lang w:val="en-US"/>
        </w:rPr>
        <w:instrText>ADDIN CSL_CITATION {"citationItems":[{"id":"ITEM-1","itemData":{"abstract":"Pesantren merupakan institusi penting yang telah memiliki peranan besar dalam proses pendidikan di Indonesia, karena terbukti telah berhasil mencetak lulusannya menjadi para pemimpin di negeri ini. Keberhasilan tersebut didukung faktor kemandirian keuangan pesantren melalui usaha-usaha produktif atau memproduktifkan asset-aset wakaf. Sebagai contoh, Pesantren Baitul Hidayah hanya memungut biaya makan para santri dan yang sanggup membayar sekitar 40% dari total santri. Untuk memenuhi kebutuhan biaya tersebut, Pesantren ini berusaha menciptakan sumber dana dengan cara memproduktifkan asset wakaf melalui kelembagaan wakaf. Dengan demikian tulisan ini berjudul “Optimalisasi Aset Wakaf sebagai Sumber Dana Pesantren melalui Pelembagaan Wakaf”. Secara rinci tulisan ini membahas tentang : (1) Pengertian wakaf. (2) Optimalisasi pengelolaan asset wakaf dalam aktivitas produktif. (3) Fundrasing wakaf. (4) Pesantren sebagai nadzir wakaf. (5) Proses pelembagaan wakaf. Adapun metode yang digunakan adalah studi kasus melalui pendekatan deskriptif kualitatif.","author":[{"dropping-particle":"","family":"Suhendi","given":"Hendi","non-dropping-particle":"","parse-names":false,"suffix":""}],"container-title":"TAHKIM, Jurnal Peradaban dan Hukum Islam","id":"ITEM-1","issued":{"date-parts":[["2018"]]},"page":"1-20","title":"Optimalisasi Aset Wakaf sebagai Sumber Dana Pesantren melalui Pelembagaan Wakaf","type":"article-journal","volume":"1(1)"},"uris":["http://www.mendeley.com/documents/?uuid=1bd3d86a-7d7a-4f73-8b02-484d1d441c8d"]}],"mendeley":{"formattedCitation":"(Suhendi, 2018)","manualFormatting":"Suhendi (2018)","plainTextFormattedCitation":"(Suhendi, 2018)"},"properties":{"noteIndex":0},"schema":"https://github.com/citation-style-language/schema/raw/master/csl-citation.json"}</w:instrText>
      </w:r>
      <w:r w:rsidR="009B1138" w:rsidRPr="0041486A">
        <w:rPr>
          <w:rFonts w:ascii="Bookman Old Style" w:eastAsia="Garamond" w:hAnsi="Bookman Old Style" w:cs="Garamond"/>
          <w:color w:val="000000" w:themeColor="text1"/>
          <w:sz w:val="20"/>
          <w:szCs w:val="20"/>
          <w:lang w:val="en-US"/>
        </w:rPr>
        <w:fldChar w:fldCharType="separate"/>
      </w:r>
      <w:r w:rsidR="00E753FA" w:rsidRPr="0041486A">
        <w:rPr>
          <w:rFonts w:ascii="Bookman Old Style" w:eastAsia="Garamond" w:hAnsi="Bookman Old Style" w:cs="Garamond"/>
          <w:color w:val="000000" w:themeColor="text1"/>
          <w:sz w:val="20"/>
          <w:szCs w:val="20"/>
          <w:lang w:val="en-US"/>
        </w:rPr>
        <w:t>Suhendi</w:t>
      </w:r>
      <w:r w:rsidR="009B1138" w:rsidRPr="0041486A">
        <w:rPr>
          <w:rFonts w:ascii="Bookman Old Style" w:eastAsia="Garamond" w:hAnsi="Bookman Old Style" w:cs="Garamond"/>
          <w:color w:val="000000" w:themeColor="text1"/>
          <w:sz w:val="20"/>
          <w:szCs w:val="20"/>
          <w:lang w:val="en-US"/>
        </w:rPr>
        <w:t xml:space="preserve"> </w:t>
      </w:r>
      <w:r w:rsidR="00E753FA" w:rsidRPr="0041486A">
        <w:rPr>
          <w:rFonts w:ascii="Bookman Old Style" w:eastAsia="Garamond" w:hAnsi="Bookman Old Style" w:cs="Garamond"/>
          <w:color w:val="000000" w:themeColor="text1"/>
          <w:sz w:val="20"/>
          <w:szCs w:val="20"/>
          <w:lang w:val="en-US"/>
        </w:rPr>
        <w:t>(</w:t>
      </w:r>
      <w:r w:rsidR="009B1138" w:rsidRPr="0041486A">
        <w:rPr>
          <w:rFonts w:ascii="Bookman Old Style" w:eastAsia="Garamond" w:hAnsi="Bookman Old Style" w:cs="Garamond"/>
          <w:color w:val="000000" w:themeColor="text1"/>
          <w:sz w:val="20"/>
          <w:szCs w:val="20"/>
          <w:lang w:val="en-US"/>
        </w:rPr>
        <w:t>2018)</w:t>
      </w:r>
      <w:r w:rsidR="009B1138" w:rsidRPr="0041486A">
        <w:rPr>
          <w:rFonts w:ascii="Bookman Old Style" w:eastAsia="Garamond" w:hAnsi="Bookman Old Style" w:cs="Garamond"/>
          <w:color w:val="000000" w:themeColor="text1"/>
          <w:sz w:val="20"/>
          <w:szCs w:val="20"/>
          <w:lang w:val="en-US"/>
        </w:rPr>
        <w:fldChar w:fldCharType="end"/>
      </w:r>
      <w:r w:rsidRPr="0041486A">
        <w:rPr>
          <w:rFonts w:ascii="Bookman Old Style" w:eastAsia="Garamond" w:hAnsi="Bookman Old Style" w:cs="Garamond"/>
          <w:color w:val="000000" w:themeColor="text1"/>
          <w:sz w:val="20"/>
          <w:szCs w:val="20"/>
          <w:lang w:val="en-US"/>
        </w:rPr>
        <w:t xml:space="preserve"> menjelaskan dasar pengakuan aset wakaf adalah akta ikrar wakaf, dimana wasiat wakaf dan janji wakaf belum memenuhi kriteria pengakuan aset wakaf. </w:t>
      </w:r>
      <w:r w:rsidRPr="0041486A">
        <w:rPr>
          <w:rFonts w:ascii="Bookman Old Style" w:hAnsi="Bookman Old Style" w:cstheme="majorBidi"/>
          <w:color w:val="000000" w:themeColor="text1"/>
          <w:sz w:val="20"/>
          <w:szCs w:val="24"/>
        </w:rPr>
        <w:t>Wakaf temporer merupakan liabilitas yang wajib dikembalikan ke wakif masa mendatang. Dasar pengakuan atas penyaluran manfaat wakaf adalah diterimanya manfaat wakaf tersebut oleh mauquf alaih. Sementara dasar imbalan nazhir adalah hasil neto pengelolaan dan pengembangan aset wakaf yang telah direalisasi dalam bentuk kas (</w:t>
      </w:r>
      <w:r w:rsidRPr="0041486A">
        <w:rPr>
          <w:rFonts w:ascii="Bookman Old Style" w:hAnsi="Bookman Old Style" w:cstheme="majorBidi"/>
          <w:i/>
          <w:color w:val="000000" w:themeColor="text1"/>
          <w:sz w:val="20"/>
          <w:szCs w:val="24"/>
        </w:rPr>
        <w:t>cash basis</w:t>
      </w:r>
      <w:r w:rsidRPr="0041486A">
        <w:rPr>
          <w:rFonts w:ascii="Bookman Old Style" w:hAnsi="Bookman Old Style" w:cstheme="majorBidi"/>
          <w:color w:val="000000" w:themeColor="text1"/>
          <w:sz w:val="20"/>
          <w:szCs w:val="24"/>
        </w:rPr>
        <w:t xml:space="preserve">). Pengukuran aset wakaf yang diterima dari wakif adalah nilai nominal untuk kas dan nilai wakaf untuk aset non-kas. Wakif mengakui penyerahan aset wakaf sebagai beban dalam laba rugi, kecuali wakaf temporer yang tetap dicatat sebagai aset wakif dan disajikan sebagai aset yang dibatasi penggunaannya. </w:t>
      </w:r>
    </w:p>
    <w:p w14:paraId="29659322" w14:textId="77777777" w:rsidR="000240AE" w:rsidRPr="0041486A" w:rsidRDefault="000240AE" w:rsidP="000240AE">
      <w:pPr>
        <w:spacing w:after="0" w:line="240" w:lineRule="auto"/>
        <w:ind w:left="540" w:firstLine="360"/>
        <w:jc w:val="center"/>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Tabel 4.1 Kesesuaian Perlakuaan Akuntansi Wakaf di Kementerian Agama Polewali Mandar vs PSAK 112 Tentang Wakaf</w:t>
      </w:r>
    </w:p>
    <w:tbl>
      <w:tblPr>
        <w:tblStyle w:val="TableGrid"/>
        <w:tblW w:w="9270" w:type="dxa"/>
        <w:tblInd w:w="-432" w:type="dxa"/>
        <w:tblLook w:val="04A0" w:firstRow="1" w:lastRow="0" w:firstColumn="1" w:lastColumn="0" w:noHBand="0" w:noVBand="1"/>
      </w:tblPr>
      <w:tblGrid>
        <w:gridCol w:w="4410"/>
        <w:gridCol w:w="4860"/>
      </w:tblGrid>
      <w:tr w:rsidR="0041486A" w:rsidRPr="0041486A" w14:paraId="019D54F4" w14:textId="77777777" w:rsidTr="00E5131F">
        <w:tc>
          <w:tcPr>
            <w:tcW w:w="4410" w:type="dxa"/>
            <w:tcBorders>
              <w:bottom w:val="single" w:sz="4" w:space="0" w:color="auto"/>
            </w:tcBorders>
          </w:tcPr>
          <w:p w14:paraId="38CA48B5" w14:textId="77777777" w:rsidR="000240AE" w:rsidRPr="0041486A" w:rsidRDefault="000240AE" w:rsidP="00E5131F">
            <w:pPr>
              <w:jc w:val="center"/>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 xml:space="preserve">PSAK 112 Tentang </w:t>
            </w:r>
          </w:p>
          <w:p w14:paraId="43541AED" w14:textId="77777777" w:rsidR="000240AE" w:rsidRPr="0041486A" w:rsidRDefault="000240AE" w:rsidP="00E5131F">
            <w:pPr>
              <w:jc w:val="center"/>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Akuntansi Wakaf</w:t>
            </w:r>
          </w:p>
        </w:tc>
        <w:tc>
          <w:tcPr>
            <w:tcW w:w="4860" w:type="dxa"/>
          </w:tcPr>
          <w:p w14:paraId="0C99C167" w14:textId="77777777" w:rsidR="000240AE" w:rsidRPr="0041486A" w:rsidRDefault="000240AE" w:rsidP="00E5131F">
            <w:pPr>
              <w:jc w:val="center"/>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Perlakuan Akuntansi di Kementerian Agama Kab. Polewali Mandar</w:t>
            </w:r>
          </w:p>
        </w:tc>
      </w:tr>
      <w:tr w:rsidR="0041486A" w:rsidRPr="0041486A" w14:paraId="63461EDF" w14:textId="77777777" w:rsidTr="00E5131F">
        <w:tc>
          <w:tcPr>
            <w:tcW w:w="4410" w:type="dxa"/>
            <w:tcBorders>
              <w:top w:val="single" w:sz="4" w:space="0" w:color="auto"/>
            </w:tcBorders>
          </w:tcPr>
          <w:p w14:paraId="0BD0C187" w14:textId="77777777" w:rsidR="000240AE" w:rsidRPr="0041486A" w:rsidRDefault="000240AE" w:rsidP="000240AE">
            <w:pPr>
              <w:pStyle w:val="ListParagraph"/>
              <w:numPr>
                <w:ilvl w:val="0"/>
                <w:numId w:val="32"/>
              </w:numPr>
              <w:ind w:left="360"/>
              <w:jc w:val="both"/>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 xml:space="preserve">Pengakuan: </w:t>
            </w:r>
            <w:r w:rsidRPr="0041486A">
              <w:rPr>
                <w:rFonts w:ascii="Bookman Old Style" w:hAnsi="Bookman Old Style" w:cstheme="majorBidi"/>
                <w:color w:val="000000" w:themeColor="text1"/>
                <w:sz w:val="20"/>
                <w:szCs w:val="24"/>
              </w:rPr>
              <w:t>Nazhir mengakui aset wakaf dalam laporan keuangan ketika memiliki kendali secara hukum dan fisik atas aset wakaf tersebut.</w:t>
            </w:r>
          </w:p>
          <w:p w14:paraId="629D03F3" w14:textId="77777777" w:rsidR="000240AE" w:rsidRPr="0041486A" w:rsidRDefault="000240AE" w:rsidP="000240AE">
            <w:pPr>
              <w:pStyle w:val="ListParagraph"/>
              <w:numPr>
                <w:ilvl w:val="0"/>
                <w:numId w:val="32"/>
              </w:numPr>
              <w:ind w:left="360"/>
              <w:jc w:val="both"/>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 xml:space="preserve">Pengukuran: </w:t>
            </w:r>
            <w:r w:rsidRPr="0041486A">
              <w:rPr>
                <w:rFonts w:ascii="Bookman Old Style" w:hAnsi="Bookman Old Style" w:cstheme="majorBidi"/>
                <w:color w:val="000000" w:themeColor="text1"/>
                <w:sz w:val="20"/>
                <w:szCs w:val="24"/>
              </w:rPr>
              <w:t>Pada saat pengakuan awal, aset wakaf diukur sebagai berikut:</w:t>
            </w:r>
          </w:p>
          <w:p w14:paraId="3CAD778D" w14:textId="77777777" w:rsidR="000240AE" w:rsidRPr="0041486A" w:rsidRDefault="000240AE" w:rsidP="000240AE">
            <w:pPr>
              <w:pStyle w:val="ListParagraph"/>
              <w:numPr>
                <w:ilvl w:val="1"/>
                <w:numId w:val="31"/>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Aset wakaf berupa uang diukur pada nilai nominal</w:t>
            </w:r>
          </w:p>
          <w:p w14:paraId="65D03E87" w14:textId="77777777" w:rsidR="000240AE" w:rsidRPr="0041486A" w:rsidRDefault="000240AE" w:rsidP="000240AE">
            <w:pPr>
              <w:pStyle w:val="ListParagraph"/>
              <w:numPr>
                <w:ilvl w:val="1"/>
                <w:numId w:val="31"/>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 xml:space="preserve">Aset wakaf selain uang diukur pada nilai wajar </w:t>
            </w:r>
          </w:p>
          <w:p w14:paraId="00FBA6E0" w14:textId="77777777" w:rsidR="000240AE" w:rsidRPr="0041486A" w:rsidRDefault="000240AE" w:rsidP="000240AE">
            <w:pPr>
              <w:pStyle w:val="ListParagraph"/>
              <w:numPr>
                <w:ilvl w:val="0"/>
                <w:numId w:val="32"/>
              </w:numPr>
              <w:ind w:left="360"/>
              <w:jc w:val="both"/>
              <w:rPr>
                <w:rFonts w:ascii="Bookman Old Style" w:hAnsi="Bookman Old Style" w:cstheme="majorBidi"/>
                <w:color w:val="000000" w:themeColor="text1"/>
                <w:sz w:val="20"/>
                <w:szCs w:val="24"/>
              </w:rPr>
            </w:pPr>
            <w:r w:rsidRPr="0041486A">
              <w:rPr>
                <w:rFonts w:ascii="Bookman Old Style" w:hAnsi="Bookman Old Style" w:cstheme="majorBidi"/>
                <w:b/>
                <w:bCs/>
                <w:color w:val="000000" w:themeColor="text1"/>
                <w:sz w:val="20"/>
                <w:szCs w:val="24"/>
              </w:rPr>
              <w:t xml:space="preserve">Penyajian: </w:t>
            </w:r>
            <w:r w:rsidRPr="0041486A">
              <w:rPr>
                <w:rFonts w:ascii="Bookman Old Style" w:hAnsi="Bookman Old Style" w:cstheme="majorBidi"/>
                <w:color w:val="000000" w:themeColor="text1"/>
                <w:sz w:val="20"/>
                <w:szCs w:val="24"/>
              </w:rPr>
              <w:t>Nazhir menyajikan aset wakaf temporer yang diterima sebagai liabilitas. Temporer dalam hal ini berarti harta wakaf tersebut hanya diperuntukkan untuk digunakan dalam kurun periode tertentu. Sedangkam untuk wakaf permanen akan disajikan sebagai aset wakaf Negara yang nilainya sudah diukur terlebih dahulu sebelum disajikan.</w:t>
            </w:r>
          </w:p>
          <w:p w14:paraId="513D8D15" w14:textId="77777777" w:rsidR="000240AE" w:rsidRPr="0041486A" w:rsidRDefault="000240AE" w:rsidP="000240AE">
            <w:pPr>
              <w:pStyle w:val="ListParagraph"/>
              <w:numPr>
                <w:ilvl w:val="0"/>
                <w:numId w:val="32"/>
              </w:numPr>
              <w:ind w:left="360"/>
              <w:jc w:val="both"/>
              <w:rPr>
                <w:rFonts w:ascii="Bookman Old Style" w:hAnsi="Bookman Old Style" w:cstheme="majorBidi"/>
                <w:b/>
                <w:bCs/>
                <w:color w:val="000000" w:themeColor="text1"/>
                <w:sz w:val="20"/>
                <w:szCs w:val="24"/>
              </w:rPr>
            </w:pPr>
            <w:r w:rsidRPr="0041486A">
              <w:rPr>
                <w:rFonts w:ascii="Bookman Old Style" w:hAnsi="Bookman Old Style" w:cstheme="majorBidi"/>
                <w:b/>
                <w:bCs/>
                <w:color w:val="000000" w:themeColor="text1"/>
                <w:sz w:val="20"/>
                <w:szCs w:val="24"/>
              </w:rPr>
              <w:t xml:space="preserve">Pengungkapan: </w:t>
            </w:r>
            <w:r w:rsidRPr="0041486A">
              <w:rPr>
                <w:rFonts w:ascii="Bookman Old Style" w:hAnsi="Bookman Old Style" w:cstheme="majorBidi"/>
                <w:color w:val="000000" w:themeColor="text1"/>
                <w:sz w:val="20"/>
                <w:szCs w:val="24"/>
              </w:rPr>
              <w:t>Pengelola harta wakaf Nazhir mengungkapkan hal-hal berikut terkait wakaf, tetpi tidak terbatas pada:</w:t>
            </w:r>
          </w:p>
          <w:p w14:paraId="415A30D4" w14:textId="77777777" w:rsidR="000240AE" w:rsidRPr="0041486A" w:rsidRDefault="000240AE" w:rsidP="000240AE">
            <w:pPr>
              <w:pStyle w:val="ListParagraph"/>
              <w:numPr>
                <w:ilvl w:val="2"/>
                <w:numId w:val="32"/>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Kebijakan akuntansi yang diterapkan pada penerimaan, pengelolaan dan penyaluran wakaf;</w:t>
            </w:r>
          </w:p>
          <w:p w14:paraId="3C0FFDEC" w14:textId="77777777" w:rsidR="000240AE" w:rsidRPr="0041486A" w:rsidRDefault="000240AE" w:rsidP="000240AE">
            <w:pPr>
              <w:pStyle w:val="ListParagraph"/>
              <w:numPr>
                <w:ilvl w:val="2"/>
                <w:numId w:val="32"/>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Penjelasan mengenai wakif yang signifikan secara individual;</w:t>
            </w:r>
          </w:p>
          <w:p w14:paraId="4C8D1675" w14:textId="77777777" w:rsidR="000240AE" w:rsidRPr="0041486A" w:rsidRDefault="000240AE" w:rsidP="000240AE">
            <w:pPr>
              <w:pStyle w:val="ListParagraph"/>
              <w:numPr>
                <w:ilvl w:val="2"/>
                <w:numId w:val="32"/>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Penjelasan mengenai strategi pengelolaan dan pengembangan aset wakaf;</w:t>
            </w:r>
          </w:p>
          <w:p w14:paraId="5BA36A88" w14:textId="77777777" w:rsidR="000240AE" w:rsidRPr="0041486A" w:rsidRDefault="000240AE" w:rsidP="000240AE">
            <w:pPr>
              <w:pStyle w:val="ListParagraph"/>
              <w:numPr>
                <w:ilvl w:val="2"/>
                <w:numId w:val="32"/>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Penjelasan mengenai peruntukan aset wakaf;</w:t>
            </w:r>
          </w:p>
          <w:p w14:paraId="273AD00E" w14:textId="77777777" w:rsidR="000240AE" w:rsidRPr="0041486A" w:rsidRDefault="000240AE" w:rsidP="000240AE">
            <w:pPr>
              <w:pStyle w:val="ListParagraph"/>
              <w:numPr>
                <w:ilvl w:val="2"/>
                <w:numId w:val="32"/>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 xml:space="preserve">Jumlah imbalan Nazhir dan persentasenya dari hasil neto pengelolaan dan pengembangan aset wakaf, dan jika terjadi perubahan di periode berjalan, </w:t>
            </w:r>
            <w:r w:rsidRPr="0041486A">
              <w:rPr>
                <w:rFonts w:ascii="Bookman Old Style" w:hAnsi="Bookman Old Style" w:cstheme="majorBidi"/>
                <w:color w:val="000000" w:themeColor="text1"/>
                <w:sz w:val="20"/>
                <w:szCs w:val="24"/>
              </w:rPr>
              <w:lastRenderedPageBreak/>
              <w:t>dijelaskan alasan perubahannya;</w:t>
            </w:r>
          </w:p>
          <w:p w14:paraId="164C6B1A" w14:textId="77777777" w:rsidR="000240AE" w:rsidRPr="0041486A" w:rsidRDefault="000240AE" w:rsidP="000240AE">
            <w:pPr>
              <w:pStyle w:val="ListParagraph"/>
              <w:numPr>
                <w:ilvl w:val="2"/>
                <w:numId w:val="32"/>
              </w:num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Rincian aset neto meliputi aset wakaf awal, aset wakaf yang bersumber dari pengelolaan dan pengembangan aset wakaf awal, dan hasil neto pengelolaan dan pengembangan aset wakaf;</w:t>
            </w:r>
          </w:p>
          <w:p w14:paraId="0CB578E6" w14:textId="77777777" w:rsidR="000240AE" w:rsidRPr="0041486A" w:rsidRDefault="000240AE" w:rsidP="00E5131F">
            <w:pPr>
              <w:ind w:left="72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Adapun laporan keuangan nazhir yang lengkap sebagai berikut:</w:t>
            </w:r>
          </w:p>
          <w:p w14:paraId="28EBC8BA" w14:textId="77777777" w:rsidR="000240AE" w:rsidRPr="0041486A" w:rsidRDefault="000240AE" w:rsidP="000240AE">
            <w:pPr>
              <w:pStyle w:val="ListParagraph"/>
              <w:numPr>
                <w:ilvl w:val="0"/>
                <w:numId w:val="34"/>
              </w:numPr>
              <w:ind w:left="108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Laporan posisi keuangan pada akhir periode</w:t>
            </w:r>
          </w:p>
          <w:p w14:paraId="788051BF" w14:textId="77777777" w:rsidR="000240AE" w:rsidRPr="0041486A" w:rsidRDefault="000240AE" w:rsidP="000240AE">
            <w:pPr>
              <w:pStyle w:val="ListParagraph"/>
              <w:numPr>
                <w:ilvl w:val="0"/>
                <w:numId w:val="34"/>
              </w:numPr>
              <w:ind w:left="108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Laporan rincian aset wakaf pada akhir periode</w:t>
            </w:r>
          </w:p>
          <w:p w14:paraId="6DCD05D8" w14:textId="77777777" w:rsidR="000240AE" w:rsidRPr="0041486A" w:rsidRDefault="000240AE" w:rsidP="000240AE">
            <w:pPr>
              <w:pStyle w:val="ListParagraph"/>
              <w:numPr>
                <w:ilvl w:val="0"/>
                <w:numId w:val="34"/>
              </w:numPr>
              <w:ind w:left="108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Laporan arus kas selama periode</w:t>
            </w:r>
          </w:p>
          <w:p w14:paraId="6D661A3D" w14:textId="77777777" w:rsidR="000240AE" w:rsidRPr="0041486A" w:rsidRDefault="000240AE" w:rsidP="000240AE">
            <w:pPr>
              <w:pStyle w:val="ListParagraph"/>
              <w:numPr>
                <w:ilvl w:val="0"/>
                <w:numId w:val="34"/>
              </w:numPr>
              <w:ind w:left="1080"/>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Catatan atas Laporan Keuangan</w:t>
            </w:r>
          </w:p>
          <w:p w14:paraId="01099039" w14:textId="77777777" w:rsidR="000240AE" w:rsidRPr="0041486A" w:rsidRDefault="000240AE" w:rsidP="00E5131F">
            <w:pPr>
              <w:jc w:val="center"/>
              <w:rPr>
                <w:rFonts w:ascii="Bookman Old Style" w:hAnsi="Bookman Old Style" w:cstheme="majorBidi"/>
                <w:b/>
                <w:bCs/>
                <w:color w:val="000000" w:themeColor="text1"/>
                <w:sz w:val="20"/>
                <w:szCs w:val="24"/>
              </w:rPr>
            </w:pPr>
          </w:p>
        </w:tc>
        <w:tc>
          <w:tcPr>
            <w:tcW w:w="4860" w:type="dxa"/>
          </w:tcPr>
          <w:p w14:paraId="66EE8A22" w14:textId="77777777" w:rsidR="000240AE" w:rsidRPr="0041486A" w:rsidRDefault="000240AE" w:rsidP="000240AE">
            <w:pPr>
              <w:pStyle w:val="ListParagraph"/>
              <w:numPr>
                <w:ilvl w:val="0"/>
                <w:numId w:val="33"/>
              </w:numPr>
              <w:ind w:left="360"/>
              <w:jc w:val="both"/>
              <w:rPr>
                <w:rFonts w:ascii="Bookman Old Style" w:hAnsi="Bookman Old Style" w:cstheme="majorBidi"/>
                <w:color w:val="000000" w:themeColor="text1"/>
                <w:sz w:val="20"/>
                <w:szCs w:val="24"/>
              </w:rPr>
            </w:pPr>
            <w:r w:rsidRPr="0041486A">
              <w:rPr>
                <w:rFonts w:ascii="Bookman Old Style" w:hAnsi="Bookman Old Style" w:cstheme="majorBidi"/>
                <w:b/>
                <w:bCs/>
                <w:color w:val="000000" w:themeColor="text1"/>
                <w:sz w:val="20"/>
                <w:szCs w:val="24"/>
              </w:rPr>
              <w:lastRenderedPageBreak/>
              <w:t>Pengakuan:</w:t>
            </w:r>
            <w:r w:rsidRPr="0041486A">
              <w:rPr>
                <w:rFonts w:ascii="Bookman Old Style" w:hAnsi="Bookman Old Style" w:cstheme="majorBidi"/>
                <w:color w:val="000000" w:themeColor="text1"/>
                <w:sz w:val="20"/>
                <w:szCs w:val="24"/>
              </w:rPr>
              <w:t xml:space="preserve"> Harta wakaf yang diberikan kepada Kementerian Agama Kabupaten Polewali Mandar baru dapat diakui setelah adanya pembuatan sertifikat atas nama Kementerian Agama Kabupaten Polewali Mandar. Selama sertifikat belum terbit, harta wakaf tidak dapat diakui dan disajikan pada laporan keuangan.</w:t>
            </w:r>
          </w:p>
          <w:p w14:paraId="683639BB" w14:textId="77777777" w:rsidR="000240AE" w:rsidRPr="0041486A" w:rsidRDefault="000240AE" w:rsidP="000240AE">
            <w:pPr>
              <w:pStyle w:val="ListParagraph"/>
              <w:numPr>
                <w:ilvl w:val="0"/>
                <w:numId w:val="33"/>
              </w:numPr>
              <w:ind w:left="360"/>
              <w:jc w:val="both"/>
              <w:rPr>
                <w:rFonts w:ascii="Bookman Old Style" w:hAnsi="Bookman Old Style" w:cstheme="majorBidi"/>
                <w:color w:val="000000" w:themeColor="text1"/>
                <w:sz w:val="20"/>
                <w:szCs w:val="24"/>
              </w:rPr>
            </w:pPr>
            <w:r w:rsidRPr="0041486A">
              <w:rPr>
                <w:rFonts w:ascii="Bookman Old Style" w:hAnsi="Bookman Old Style" w:cstheme="majorBidi"/>
                <w:b/>
                <w:bCs/>
                <w:color w:val="000000" w:themeColor="text1"/>
                <w:sz w:val="20"/>
                <w:szCs w:val="24"/>
              </w:rPr>
              <w:t xml:space="preserve">Pengukuran: </w:t>
            </w:r>
            <w:r w:rsidRPr="0041486A">
              <w:rPr>
                <w:rFonts w:ascii="Bookman Old Style" w:hAnsi="Bookman Old Style" w:cstheme="majorBidi"/>
                <w:color w:val="000000" w:themeColor="text1"/>
                <w:sz w:val="20"/>
                <w:szCs w:val="24"/>
              </w:rPr>
              <w:t>Setelah sertifikat atas harta wakaf terbit, barulah kemudian aset tersebut bisa diukur secara ekonomis menggunakan nilai (pasar atau yang sudah ditentukan) dari harta wakaf tersebut untuk disajikan di laporan keuangan.</w:t>
            </w:r>
          </w:p>
          <w:p w14:paraId="03519826" w14:textId="77777777" w:rsidR="000240AE" w:rsidRPr="0041486A" w:rsidRDefault="000240AE" w:rsidP="000240AE">
            <w:pPr>
              <w:pStyle w:val="ListParagraph"/>
              <w:numPr>
                <w:ilvl w:val="0"/>
                <w:numId w:val="33"/>
              </w:numPr>
              <w:ind w:left="360"/>
              <w:jc w:val="both"/>
              <w:rPr>
                <w:rFonts w:ascii="Bookman Old Style" w:hAnsi="Bookman Old Style" w:cstheme="majorBidi"/>
                <w:color w:val="000000" w:themeColor="text1"/>
                <w:sz w:val="20"/>
                <w:szCs w:val="24"/>
              </w:rPr>
            </w:pPr>
            <w:r w:rsidRPr="0041486A">
              <w:rPr>
                <w:rFonts w:ascii="Bookman Old Style" w:hAnsi="Bookman Old Style" w:cstheme="majorBidi"/>
                <w:b/>
                <w:bCs/>
                <w:color w:val="000000" w:themeColor="text1"/>
                <w:sz w:val="20"/>
                <w:szCs w:val="24"/>
              </w:rPr>
              <w:t>Penyajian:</w:t>
            </w:r>
            <w:r w:rsidRPr="0041486A">
              <w:rPr>
                <w:rFonts w:ascii="Bookman Old Style" w:hAnsi="Bookman Old Style" w:cstheme="majorBidi"/>
                <w:color w:val="000000" w:themeColor="text1"/>
                <w:sz w:val="20"/>
                <w:szCs w:val="24"/>
              </w:rPr>
              <w:t xml:space="preserve"> Harta wakaf yang telah resmi dialihkan kepemilikannya kepada Kementerian Agama Kabupaten Polewali Mandar disajikan sebagai aset milik pemerintah sebagai aset wakaf yang dibuktikan dengan sertifikat.</w:t>
            </w:r>
          </w:p>
          <w:p w14:paraId="6C469BC8" w14:textId="77777777" w:rsidR="000240AE" w:rsidRPr="0041486A" w:rsidRDefault="000240AE" w:rsidP="000240AE">
            <w:pPr>
              <w:pStyle w:val="ListParagraph"/>
              <w:numPr>
                <w:ilvl w:val="0"/>
                <w:numId w:val="33"/>
              </w:numPr>
              <w:ind w:left="360"/>
              <w:jc w:val="both"/>
              <w:rPr>
                <w:rFonts w:ascii="Bookman Old Style" w:hAnsi="Bookman Old Style" w:cstheme="majorBidi"/>
                <w:color w:val="000000" w:themeColor="text1"/>
                <w:sz w:val="20"/>
                <w:szCs w:val="24"/>
              </w:rPr>
            </w:pPr>
            <w:r w:rsidRPr="0041486A">
              <w:rPr>
                <w:rFonts w:ascii="Bookman Old Style" w:hAnsi="Bookman Old Style" w:cstheme="majorBidi"/>
                <w:b/>
                <w:bCs/>
                <w:color w:val="000000" w:themeColor="text1"/>
                <w:sz w:val="20"/>
                <w:szCs w:val="24"/>
              </w:rPr>
              <w:t>Pengungkapan:</w:t>
            </w:r>
            <w:r w:rsidRPr="0041486A">
              <w:rPr>
                <w:rFonts w:ascii="Bookman Old Style" w:hAnsi="Bookman Old Style" w:cstheme="majorBidi"/>
                <w:color w:val="000000" w:themeColor="text1"/>
                <w:sz w:val="20"/>
                <w:szCs w:val="24"/>
              </w:rPr>
              <w:t xml:space="preserve"> Harta wakaf yang diperoleh harus diungkapkan berapa nilai dan dari mana harta wakaf tersebut diperoleh sesuai dengan prosedur yang berlaku dilingkup Kementerian Agama.</w:t>
            </w:r>
          </w:p>
          <w:p w14:paraId="6BD3276A" w14:textId="77777777" w:rsidR="000240AE" w:rsidRPr="0041486A" w:rsidRDefault="000240AE" w:rsidP="00E5131F">
            <w:pPr>
              <w:pStyle w:val="ListParagraph"/>
              <w:ind w:left="360"/>
              <w:jc w:val="both"/>
              <w:rPr>
                <w:rFonts w:ascii="Bookman Old Style" w:hAnsi="Bookman Old Style" w:cstheme="majorBidi"/>
                <w:b/>
                <w:bCs/>
                <w:color w:val="000000" w:themeColor="text1"/>
                <w:sz w:val="20"/>
                <w:szCs w:val="24"/>
              </w:rPr>
            </w:pPr>
          </w:p>
          <w:p w14:paraId="1E9C03AC" w14:textId="77777777" w:rsidR="000240AE" w:rsidRPr="0041486A" w:rsidRDefault="000240AE" w:rsidP="00E5131F">
            <w:pPr>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 xml:space="preserve">Terkait dengan pembuatan laporan sendiri, pihak Kementerian Agama Kabupaten Polewali Mandar hanya memperlihatkan daftar harta wakaf berupa tanah yang tersebar di 16 Kecamatan di Kabupaten Polewali Mandar dan juga Rincian Anggaran Biaya (RAB) terkait dengan pembangunan Gedung Pesantren yang dikelola langsung oleh pihak pesantren selaku mitra Kementerian Agama Kabupaten Polewali Mandar. </w:t>
            </w:r>
          </w:p>
          <w:p w14:paraId="6245A231" w14:textId="77777777" w:rsidR="000240AE" w:rsidRPr="0041486A" w:rsidRDefault="000240AE" w:rsidP="00E5131F">
            <w:pPr>
              <w:jc w:val="both"/>
              <w:rPr>
                <w:rFonts w:ascii="Bookman Old Style" w:hAnsi="Bookman Old Style" w:cstheme="majorBidi"/>
                <w:color w:val="000000" w:themeColor="text1"/>
                <w:sz w:val="20"/>
                <w:szCs w:val="24"/>
              </w:rPr>
            </w:pPr>
          </w:p>
          <w:p w14:paraId="246C214C" w14:textId="77777777" w:rsidR="000240AE" w:rsidRPr="0041486A" w:rsidRDefault="000240AE" w:rsidP="00E5131F">
            <w:pPr>
              <w:jc w:val="both"/>
              <w:rPr>
                <w:rFonts w:ascii="Bookman Old Style" w:hAnsi="Bookman Old Style" w:cstheme="majorBidi"/>
                <w:color w:val="000000" w:themeColor="text1"/>
                <w:sz w:val="20"/>
                <w:szCs w:val="24"/>
              </w:rPr>
            </w:pPr>
            <w:r w:rsidRPr="0041486A">
              <w:rPr>
                <w:rFonts w:ascii="Bookman Old Style" w:hAnsi="Bookman Old Style" w:cstheme="majorBidi"/>
                <w:color w:val="000000" w:themeColor="text1"/>
                <w:sz w:val="20"/>
                <w:szCs w:val="24"/>
              </w:rPr>
              <w:t xml:space="preserve">Secara teoretis, perlakuan akuntansi yang dilakukan oleh pihak Kementerian Agama Kabupaten Polewali Mandar jelas belum sesuai dengan apa yang dijelaskan dalam PSAK 112 </w:t>
            </w:r>
            <w:r w:rsidRPr="0041486A">
              <w:rPr>
                <w:rFonts w:ascii="Bookman Old Style" w:hAnsi="Bookman Old Style" w:cstheme="majorBidi"/>
                <w:color w:val="000000" w:themeColor="text1"/>
                <w:sz w:val="20"/>
                <w:szCs w:val="24"/>
              </w:rPr>
              <w:lastRenderedPageBreak/>
              <w:t>tentang wakaf. Otomatis, secara praktis belum disesuaikan sebab menurut pihak Kementerian Agama Kabupaten Polewali Mandar hanya mengikuti format pelaporan yang sama yang disediakan pemerintah tiap tahunnya (belum terstandarisasi menurut PSAK 112 Tentang Akuntansi Wakaf).</w:t>
            </w:r>
          </w:p>
        </w:tc>
      </w:tr>
    </w:tbl>
    <w:p w14:paraId="1AEDD3ED" w14:textId="4A27B086" w:rsidR="00E753FA" w:rsidRPr="0041486A" w:rsidRDefault="000240AE" w:rsidP="00E753FA">
      <w:pPr>
        <w:spacing w:after="0" w:line="240" w:lineRule="auto"/>
        <w:jc w:val="both"/>
        <w:rPr>
          <w:rFonts w:ascii="Bookman Old Style" w:hAnsi="Bookman Old Style" w:cs="Times New Roman"/>
          <w:b/>
          <w:i/>
          <w:iCs/>
          <w:color w:val="000000" w:themeColor="text1"/>
          <w:sz w:val="20"/>
          <w:szCs w:val="24"/>
          <w:lang w:val="en-US"/>
        </w:rPr>
      </w:pPr>
      <w:r w:rsidRPr="0041486A">
        <w:rPr>
          <w:rFonts w:ascii="Bookman Old Style" w:hAnsi="Bookman Old Style" w:cs="Times New Roman"/>
          <w:iCs/>
          <w:color w:val="000000" w:themeColor="text1"/>
          <w:sz w:val="20"/>
          <w:szCs w:val="24"/>
          <w:lang w:val="en-US"/>
        </w:rPr>
        <w:lastRenderedPageBreak/>
        <w:tab/>
      </w:r>
      <w:r w:rsidR="00E753FA" w:rsidRPr="0041486A">
        <w:rPr>
          <w:rFonts w:ascii="Bookman Old Style" w:hAnsi="Bookman Old Style" w:cs="Times New Roman"/>
          <w:b/>
          <w:i/>
          <w:iCs/>
          <w:color w:val="000000" w:themeColor="text1"/>
          <w:sz w:val="20"/>
          <w:szCs w:val="24"/>
          <w:lang w:val="en-US"/>
        </w:rPr>
        <w:t>Sumber: Interpretasi Peneliti (2020)</w:t>
      </w:r>
    </w:p>
    <w:p w14:paraId="19AAFF68" w14:textId="77777777" w:rsidR="00E753FA" w:rsidRPr="0041486A" w:rsidRDefault="00E753FA" w:rsidP="000240AE">
      <w:pPr>
        <w:spacing w:after="0" w:line="240" w:lineRule="auto"/>
        <w:jc w:val="both"/>
        <w:rPr>
          <w:rFonts w:ascii="Bookman Old Style" w:hAnsi="Bookman Old Style" w:cs="Times New Roman"/>
          <w:iCs/>
          <w:color w:val="000000" w:themeColor="text1"/>
          <w:sz w:val="20"/>
          <w:szCs w:val="24"/>
          <w:lang w:val="en-US"/>
        </w:rPr>
      </w:pPr>
      <w:r w:rsidRPr="0041486A">
        <w:rPr>
          <w:rFonts w:ascii="Bookman Old Style" w:hAnsi="Bookman Old Style" w:cs="Times New Roman"/>
          <w:iCs/>
          <w:color w:val="000000" w:themeColor="text1"/>
          <w:sz w:val="20"/>
          <w:szCs w:val="24"/>
          <w:lang w:val="en-US"/>
        </w:rPr>
        <w:tab/>
      </w:r>
    </w:p>
    <w:p w14:paraId="46E679D8" w14:textId="518F856B" w:rsidR="000240AE" w:rsidRPr="0041486A" w:rsidRDefault="00E753FA" w:rsidP="000240AE">
      <w:pPr>
        <w:spacing w:after="0" w:line="240" w:lineRule="auto"/>
        <w:jc w:val="both"/>
        <w:rPr>
          <w:rFonts w:ascii="Bookman Old Style" w:hAnsi="Bookman Old Style"/>
          <w:color w:val="000000" w:themeColor="text1"/>
          <w:sz w:val="18"/>
        </w:rPr>
      </w:pPr>
      <w:r w:rsidRPr="0041486A">
        <w:rPr>
          <w:rFonts w:ascii="Bookman Old Style" w:hAnsi="Bookman Old Style" w:cs="Times New Roman"/>
          <w:iCs/>
          <w:color w:val="000000" w:themeColor="text1"/>
          <w:sz w:val="20"/>
          <w:szCs w:val="24"/>
          <w:lang w:val="en-US"/>
        </w:rPr>
        <w:tab/>
      </w:r>
      <w:r w:rsidR="000240AE" w:rsidRPr="0041486A">
        <w:rPr>
          <w:rFonts w:ascii="Bookman Old Style" w:hAnsi="Bookman Old Style" w:cs="Times New Roman"/>
          <w:iCs/>
          <w:color w:val="000000" w:themeColor="text1"/>
          <w:sz w:val="20"/>
          <w:szCs w:val="24"/>
        </w:rPr>
        <w:t xml:space="preserve">Terkait dengan pertanggungjawaban harta wakaf tentunya tidak lepas dari bagaimana merealisasikannya. Ini menyangkut untuk apa dan apa faedah yang akan diberikan oleh harta wakaf yang dikelola tersebut. Menjadi sebuah hal yang penting untuk dikaji mengenai hal tersebut sebab akan dimintai pertanggungjawaban di dunia dan akhirat. </w:t>
      </w:r>
      <w:r w:rsidR="000240AE" w:rsidRPr="0041486A">
        <w:rPr>
          <w:rFonts w:ascii="Bookman Old Style" w:hAnsi="Bookman Old Style" w:cstheme="majorBidi"/>
          <w:color w:val="000000" w:themeColor="text1"/>
          <w:sz w:val="20"/>
          <w:szCs w:val="24"/>
        </w:rPr>
        <w:t xml:space="preserve">Dalam perjalanannya, wakaf terus berkembang dan akan selalu berkembang mengikuti perkembangan zaman dengan berbagai inovasi-inovasi yang relevan. Wakaf sangat penting artinya bagi kehidupan sosial, ekonomi, kebudayaan dan keagamaan. Oleh karena itu, Islam meletakkan amalan wakaf sebagai salah satu macam ibadah yang amat menggembirakan. Akuntabilitas pengelolaan wakaf yang dilakukan oleh pihak Kementerian Agama Kabupaten Polewali Mandar dan kaitannya dengan </w:t>
      </w:r>
      <w:r w:rsidR="000240AE" w:rsidRPr="0041486A">
        <w:rPr>
          <w:rFonts w:ascii="Bookman Old Style" w:hAnsi="Bookman Old Style" w:cstheme="majorBidi"/>
          <w:i/>
          <w:iCs/>
          <w:color w:val="000000" w:themeColor="text1"/>
          <w:sz w:val="20"/>
          <w:szCs w:val="24"/>
        </w:rPr>
        <w:t xml:space="preserve">shariah enterprise theory </w:t>
      </w:r>
      <w:r w:rsidR="000240AE" w:rsidRPr="0041486A">
        <w:rPr>
          <w:rFonts w:ascii="Bookman Old Style" w:hAnsi="Bookman Old Style" w:cstheme="majorBidi"/>
          <w:color w:val="000000" w:themeColor="text1"/>
          <w:sz w:val="20"/>
          <w:szCs w:val="24"/>
        </w:rPr>
        <w:t>dirangkum dalam tabel 4.2 berikut ini</w:t>
      </w:r>
    </w:p>
    <w:p w14:paraId="299DA192" w14:textId="77777777" w:rsidR="000A7C53" w:rsidRPr="0041486A" w:rsidRDefault="000A7C53" w:rsidP="000A7C53">
      <w:pPr>
        <w:spacing w:after="0" w:line="240" w:lineRule="auto"/>
        <w:jc w:val="center"/>
        <w:rPr>
          <w:rFonts w:ascii="Bookman Old Style" w:hAnsi="Bookman Old Style" w:cstheme="majorBidi"/>
          <w:b/>
          <w:bCs/>
          <w:color w:val="000000" w:themeColor="text1"/>
          <w:sz w:val="20"/>
          <w:szCs w:val="20"/>
        </w:rPr>
      </w:pPr>
      <w:r w:rsidRPr="0041486A">
        <w:rPr>
          <w:rFonts w:ascii="Bookman Old Style" w:hAnsi="Bookman Old Style" w:cstheme="majorBidi"/>
          <w:b/>
          <w:bCs/>
          <w:color w:val="000000" w:themeColor="text1"/>
          <w:sz w:val="20"/>
          <w:szCs w:val="20"/>
        </w:rPr>
        <w:t>Tabel 4.2</w:t>
      </w:r>
    </w:p>
    <w:p w14:paraId="1F4C1B7C" w14:textId="77777777" w:rsidR="000A7C53" w:rsidRPr="0041486A" w:rsidRDefault="000A7C53" w:rsidP="000A7C53">
      <w:pPr>
        <w:spacing w:after="0" w:line="240" w:lineRule="auto"/>
        <w:jc w:val="center"/>
        <w:rPr>
          <w:rFonts w:ascii="Bookman Old Style" w:hAnsi="Bookman Old Style" w:cstheme="majorBidi"/>
          <w:b/>
          <w:bCs/>
          <w:i/>
          <w:iCs/>
          <w:color w:val="000000" w:themeColor="text1"/>
          <w:sz w:val="20"/>
          <w:szCs w:val="20"/>
        </w:rPr>
      </w:pPr>
      <w:r w:rsidRPr="0041486A">
        <w:rPr>
          <w:rFonts w:ascii="Bookman Old Style" w:hAnsi="Bookman Old Style" w:cstheme="majorBidi"/>
          <w:b/>
          <w:bCs/>
          <w:color w:val="000000" w:themeColor="text1"/>
          <w:sz w:val="20"/>
          <w:szCs w:val="20"/>
        </w:rPr>
        <w:t xml:space="preserve">Akuntabilitas Pengelolaan Harta Wakaf  dalam Perpektif </w:t>
      </w:r>
      <w:r w:rsidRPr="0041486A">
        <w:rPr>
          <w:rFonts w:ascii="Bookman Old Style" w:hAnsi="Bookman Old Style" w:cstheme="majorBidi"/>
          <w:b/>
          <w:bCs/>
          <w:i/>
          <w:iCs/>
          <w:color w:val="000000" w:themeColor="text1"/>
          <w:sz w:val="20"/>
          <w:szCs w:val="20"/>
        </w:rPr>
        <w:t xml:space="preserve">Shariah </w:t>
      </w:r>
    </w:p>
    <w:p w14:paraId="45C72C6D" w14:textId="77777777" w:rsidR="000A7C53" w:rsidRPr="0041486A" w:rsidRDefault="000A7C53" w:rsidP="000A7C53">
      <w:pPr>
        <w:spacing w:after="0" w:line="240" w:lineRule="auto"/>
        <w:jc w:val="center"/>
        <w:rPr>
          <w:rFonts w:ascii="Bookman Old Style" w:hAnsi="Bookman Old Style" w:cstheme="majorBidi"/>
          <w:b/>
          <w:bCs/>
          <w:i/>
          <w:iCs/>
          <w:color w:val="000000" w:themeColor="text1"/>
          <w:sz w:val="20"/>
          <w:szCs w:val="20"/>
        </w:rPr>
      </w:pPr>
      <w:r w:rsidRPr="0041486A">
        <w:rPr>
          <w:rFonts w:ascii="Bookman Old Style" w:hAnsi="Bookman Old Style" w:cstheme="majorBidi"/>
          <w:b/>
          <w:bCs/>
          <w:i/>
          <w:iCs/>
          <w:color w:val="000000" w:themeColor="text1"/>
          <w:sz w:val="20"/>
          <w:szCs w:val="20"/>
        </w:rPr>
        <w:t>Enterprise Theory</w:t>
      </w:r>
    </w:p>
    <w:tbl>
      <w:tblPr>
        <w:tblStyle w:val="TableGrid"/>
        <w:tblW w:w="0" w:type="auto"/>
        <w:tblLook w:val="04A0" w:firstRow="1" w:lastRow="0" w:firstColumn="1" w:lastColumn="0" w:noHBand="0" w:noVBand="1"/>
      </w:tblPr>
      <w:tblGrid>
        <w:gridCol w:w="4038"/>
        <w:gridCol w:w="4116"/>
      </w:tblGrid>
      <w:tr w:rsidR="0041486A" w:rsidRPr="0041486A" w14:paraId="010EC9CB" w14:textId="77777777" w:rsidTr="00E5131F">
        <w:tc>
          <w:tcPr>
            <w:tcW w:w="4038" w:type="dxa"/>
            <w:vAlign w:val="center"/>
          </w:tcPr>
          <w:p w14:paraId="05003D46" w14:textId="77777777" w:rsidR="000A7C53" w:rsidRPr="0041486A" w:rsidRDefault="000A7C53" w:rsidP="00E5131F">
            <w:pPr>
              <w:jc w:val="center"/>
              <w:rPr>
                <w:rFonts w:ascii="Bookman Old Style" w:hAnsi="Bookman Old Style" w:cstheme="majorBidi"/>
                <w:b/>
                <w:bCs/>
                <w:i/>
                <w:iCs/>
                <w:color w:val="000000" w:themeColor="text1"/>
                <w:sz w:val="20"/>
                <w:szCs w:val="20"/>
              </w:rPr>
            </w:pPr>
            <w:r w:rsidRPr="0041486A">
              <w:rPr>
                <w:rFonts w:ascii="Bookman Old Style" w:hAnsi="Bookman Old Style" w:cstheme="majorBidi"/>
                <w:b/>
                <w:bCs/>
                <w:i/>
                <w:iCs/>
                <w:color w:val="000000" w:themeColor="text1"/>
                <w:sz w:val="20"/>
                <w:szCs w:val="20"/>
              </w:rPr>
              <w:t>Shariah Enterprise Theory</w:t>
            </w:r>
          </w:p>
        </w:tc>
        <w:tc>
          <w:tcPr>
            <w:tcW w:w="4116" w:type="dxa"/>
          </w:tcPr>
          <w:p w14:paraId="753B5A94" w14:textId="77777777" w:rsidR="000A7C53" w:rsidRPr="0041486A" w:rsidRDefault="000A7C53" w:rsidP="00E5131F">
            <w:pPr>
              <w:jc w:val="center"/>
              <w:rPr>
                <w:rFonts w:ascii="Bookman Old Style" w:hAnsi="Bookman Old Style" w:cstheme="majorBidi"/>
                <w:b/>
                <w:bCs/>
                <w:color w:val="000000" w:themeColor="text1"/>
                <w:sz w:val="20"/>
                <w:szCs w:val="20"/>
              </w:rPr>
            </w:pPr>
            <w:r w:rsidRPr="0041486A">
              <w:rPr>
                <w:rFonts w:ascii="Bookman Old Style" w:hAnsi="Bookman Old Style" w:cstheme="majorBidi"/>
                <w:b/>
                <w:bCs/>
                <w:color w:val="000000" w:themeColor="text1"/>
                <w:sz w:val="20"/>
                <w:szCs w:val="20"/>
              </w:rPr>
              <w:t>Akuntabilitas Pengelolaan Wakaf Kementerian Agama Kab. Polewali Mandar</w:t>
            </w:r>
          </w:p>
        </w:tc>
      </w:tr>
      <w:tr w:rsidR="0041486A" w:rsidRPr="0041486A" w14:paraId="66C766D7" w14:textId="77777777" w:rsidTr="00E5131F">
        <w:tc>
          <w:tcPr>
            <w:tcW w:w="4038" w:type="dxa"/>
            <w:vAlign w:val="center"/>
          </w:tcPr>
          <w:p w14:paraId="2F60251F" w14:textId="77777777" w:rsidR="000A7C53" w:rsidRPr="0041486A" w:rsidRDefault="000A7C53" w:rsidP="00E5131F">
            <w:pPr>
              <w:jc w:val="center"/>
              <w:rPr>
                <w:rFonts w:ascii="Bookman Old Style" w:hAnsi="Bookman Old Style" w:cstheme="majorBidi"/>
                <w:bCs/>
                <w:iCs/>
                <w:color w:val="000000" w:themeColor="text1"/>
                <w:sz w:val="20"/>
                <w:szCs w:val="20"/>
              </w:rPr>
            </w:pPr>
            <w:r w:rsidRPr="0041486A">
              <w:rPr>
                <w:rFonts w:ascii="Bookman Old Style" w:hAnsi="Bookman Old Style" w:cstheme="majorBidi"/>
                <w:bCs/>
                <w:iCs/>
                <w:color w:val="000000" w:themeColor="text1"/>
                <w:sz w:val="20"/>
                <w:szCs w:val="20"/>
              </w:rPr>
              <w:t>Akuntabilitas vertikal</w:t>
            </w:r>
          </w:p>
        </w:tc>
        <w:tc>
          <w:tcPr>
            <w:tcW w:w="4116" w:type="dxa"/>
          </w:tcPr>
          <w:p w14:paraId="167CEED5" w14:textId="77777777" w:rsidR="000A7C53" w:rsidRPr="0041486A" w:rsidRDefault="000A7C53" w:rsidP="00E5131F">
            <w:pPr>
              <w:jc w:val="both"/>
              <w:rPr>
                <w:rFonts w:ascii="Bookman Old Style" w:hAnsi="Bookman Old Style"/>
                <w:color w:val="000000" w:themeColor="text1"/>
                <w:sz w:val="20"/>
                <w:szCs w:val="20"/>
              </w:rPr>
            </w:pPr>
            <w:r w:rsidRPr="0041486A">
              <w:rPr>
                <w:rFonts w:ascii="Bookman Old Style" w:hAnsi="Bookman Old Style"/>
                <w:color w:val="000000" w:themeColor="text1"/>
                <w:sz w:val="20"/>
                <w:szCs w:val="20"/>
              </w:rPr>
              <w:t xml:space="preserve">Akuntabilitas vertikal adalah pertanggungjawaban yang dilakukan kepada Tuhan. </w:t>
            </w:r>
          </w:p>
          <w:p w14:paraId="51E314D1" w14:textId="77777777" w:rsidR="000A7C53" w:rsidRPr="0041486A" w:rsidRDefault="000A7C53" w:rsidP="000A7C53">
            <w:pPr>
              <w:pStyle w:val="ListParagraph"/>
              <w:numPr>
                <w:ilvl w:val="0"/>
                <w:numId w:val="36"/>
              </w:numPr>
              <w:jc w:val="both"/>
              <w:rPr>
                <w:rFonts w:ascii="Bookman Old Style" w:hAnsi="Bookman Old Style"/>
                <w:color w:val="000000" w:themeColor="text1"/>
                <w:sz w:val="20"/>
                <w:szCs w:val="20"/>
              </w:rPr>
            </w:pPr>
            <w:r w:rsidRPr="0041486A">
              <w:rPr>
                <w:rFonts w:ascii="Bookman Old Style" w:hAnsi="Bookman Old Style"/>
                <w:b/>
                <w:color w:val="000000" w:themeColor="text1"/>
                <w:sz w:val="20"/>
                <w:szCs w:val="20"/>
              </w:rPr>
              <w:t>Kepada Tuhan</w:t>
            </w:r>
            <w:r w:rsidRPr="0041486A">
              <w:rPr>
                <w:rFonts w:ascii="Bookman Old Style" w:hAnsi="Bookman Old Style"/>
                <w:color w:val="000000" w:themeColor="text1"/>
                <w:sz w:val="20"/>
                <w:szCs w:val="20"/>
              </w:rPr>
              <w:t>:Dengan pertanggungjawaban ini, Pihak Kementerian Agama Kabupaten Polewali Mandar khususnya wakif sebagai pengelola harta wakaf, senantiasa melaksanakan tugas dan kewajibannya dengan mematuhi segala perintah Allah SWT dan menjauhi segala larangannya. Contoh pertanggungjawaban vertikal Sholat, zakat, puasa, jujur, amanah dan lain sebagainya.</w:t>
            </w:r>
          </w:p>
          <w:p w14:paraId="0FA2774C" w14:textId="77777777" w:rsidR="000A7C53" w:rsidRPr="0041486A" w:rsidRDefault="000A7C53" w:rsidP="00E5131F">
            <w:pPr>
              <w:jc w:val="center"/>
              <w:rPr>
                <w:rFonts w:ascii="Bookman Old Style" w:hAnsi="Bookman Old Style" w:cstheme="majorBidi"/>
                <w:b/>
                <w:bCs/>
                <w:color w:val="000000" w:themeColor="text1"/>
                <w:sz w:val="20"/>
                <w:szCs w:val="20"/>
              </w:rPr>
            </w:pPr>
          </w:p>
        </w:tc>
      </w:tr>
      <w:tr w:rsidR="0041486A" w:rsidRPr="0041486A" w14:paraId="448E0593" w14:textId="77777777" w:rsidTr="00E5131F">
        <w:tc>
          <w:tcPr>
            <w:tcW w:w="4038" w:type="dxa"/>
          </w:tcPr>
          <w:p w14:paraId="0AC123D8" w14:textId="77777777" w:rsidR="000A7C53" w:rsidRPr="0041486A" w:rsidRDefault="000A7C53" w:rsidP="00E5131F">
            <w:pPr>
              <w:jc w:val="center"/>
              <w:rPr>
                <w:rFonts w:ascii="Bookman Old Style" w:hAnsi="Bookman Old Style" w:cstheme="majorBidi"/>
                <w:color w:val="000000" w:themeColor="text1"/>
                <w:sz w:val="20"/>
                <w:szCs w:val="20"/>
              </w:rPr>
            </w:pPr>
          </w:p>
          <w:p w14:paraId="2E88D1DD" w14:textId="77777777" w:rsidR="000A7C53" w:rsidRPr="0041486A" w:rsidRDefault="000A7C53" w:rsidP="00E5131F">
            <w:pPr>
              <w:jc w:val="center"/>
              <w:rPr>
                <w:rFonts w:ascii="Bookman Old Style" w:hAnsi="Bookman Old Style" w:cstheme="majorBidi"/>
                <w:color w:val="000000" w:themeColor="text1"/>
                <w:sz w:val="20"/>
                <w:szCs w:val="20"/>
              </w:rPr>
            </w:pPr>
          </w:p>
          <w:p w14:paraId="51E7CE32" w14:textId="77777777" w:rsidR="000A7C53" w:rsidRPr="0041486A" w:rsidRDefault="000A7C53" w:rsidP="00E5131F">
            <w:pPr>
              <w:jc w:val="center"/>
              <w:rPr>
                <w:rFonts w:ascii="Bookman Old Style" w:hAnsi="Bookman Old Style" w:cstheme="majorBidi"/>
                <w:color w:val="000000" w:themeColor="text1"/>
                <w:sz w:val="20"/>
                <w:szCs w:val="20"/>
              </w:rPr>
            </w:pPr>
          </w:p>
          <w:p w14:paraId="44DE35DF" w14:textId="77777777" w:rsidR="000A7C53" w:rsidRPr="0041486A" w:rsidRDefault="000A7C53" w:rsidP="00E5131F">
            <w:pPr>
              <w:jc w:val="center"/>
              <w:rPr>
                <w:rFonts w:ascii="Bookman Old Style" w:hAnsi="Bookman Old Style" w:cstheme="majorBidi"/>
                <w:color w:val="000000" w:themeColor="text1"/>
                <w:sz w:val="20"/>
                <w:szCs w:val="20"/>
              </w:rPr>
            </w:pPr>
          </w:p>
          <w:p w14:paraId="1BC58075" w14:textId="77777777" w:rsidR="000A7C53" w:rsidRPr="0041486A" w:rsidRDefault="000A7C53" w:rsidP="00E5131F">
            <w:pPr>
              <w:jc w:val="center"/>
              <w:rPr>
                <w:rFonts w:ascii="Bookman Old Style" w:hAnsi="Bookman Old Style" w:cstheme="majorBidi"/>
                <w:color w:val="000000" w:themeColor="text1"/>
                <w:sz w:val="20"/>
                <w:szCs w:val="20"/>
              </w:rPr>
            </w:pPr>
          </w:p>
          <w:p w14:paraId="02DDD72F" w14:textId="77777777" w:rsidR="000A7C53" w:rsidRPr="0041486A" w:rsidRDefault="000A7C53" w:rsidP="00E5131F">
            <w:pPr>
              <w:jc w:val="center"/>
              <w:rPr>
                <w:rFonts w:ascii="Bookman Old Style" w:hAnsi="Bookman Old Style" w:cstheme="majorBidi"/>
                <w:color w:val="000000" w:themeColor="text1"/>
                <w:sz w:val="20"/>
                <w:szCs w:val="20"/>
              </w:rPr>
            </w:pPr>
          </w:p>
          <w:p w14:paraId="1394CEEA" w14:textId="77777777" w:rsidR="000A7C53" w:rsidRPr="0041486A" w:rsidRDefault="000A7C53" w:rsidP="00E5131F">
            <w:pPr>
              <w:jc w:val="center"/>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t>Akuntabilitas Horizontal</w:t>
            </w:r>
          </w:p>
          <w:p w14:paraId="4ED29A43" w14:textId="77777777" w:rsidR="000A7C53" w:rsidRPr="0041486A" w:rsidRDefault="000A7C53" w:rsidP="00E5131F">
            <w:pPr>
              <w:jc w:val="center"/>
              <w:rPr>
                <w:rFonts w:ascii="Bookman Old Style" w:hAnsi="Bookman Old Style" w:cstheme="majorBidi"/>
                <w:color w:val="000000" w:themeColor="text1"/>
                <w:sz w:val="20"/>
                <w:szCs w:val="20"/>
              </w:rPr>
            </w:pPr>
          </w:p>
        </w:tc>
        <w:tc>
          <w:tcPr>
            <w:tcW w:w="4116" w:type="dxa"/>
          </w:tcPr>
          <w:p w14:paraId="0074D01D" w14:textId="77777777" w:rsidR="000A7C53" w:rsidRPr="0041486A" w:rsidRDefault="000A7C53" w:rsidP="00E5131F">
            <w:pPr>
              <w:jc w:val="both"/>
              <w:rPr>
                <w:rFonts w:ascii="Bookman Old Style" w:hAnsi="Bookman Old Style" w:cstheme="majorBidi"/>
                <w:color w:val="000000" w:themeColor="text1"/>
                <w:sz w:val="20"/>
                <w:szCs w:val="20"/>
              </w:rPr>
            </w:pPr>
            <w:r w:rsidRPr="0041486A">
              <w:rPr>
                <w:rFonts w:ascii="Bookman Old Style" w:hAnsi="Bookman Old Style" w:cstheme="majorBidi"/>
                <w:color w:val="000000" w:themeColor="text1"/>
                <w:sz w:val="20"/>
                <w:szCs w:val="20"/>
              </w:rPr>
              <w:lastRenderedPageBreak/>
              <w:t xml:space="preserve">Akuntabilitas Horizontal adalah pertanggungjawaban kepada masyarakat dan alam. </w:t>
            </w:r>
          </w:p>
          <w:p w14:paraId="1C609EDC" w14:textId="77777777" w:rsidR="000A7C53" w:rsidRPr="0041486A" w:rsidRDefault="000A7C53" w:rsidP="000A7C53">
            <w:pPr>
              <w:pStyle w:val="ListParagraph"/>
              <w:numPr>
                <w:ilvl w:val="0"/>
                <w:numId w:val="35"/>
              </w:numPr>
              <w:jc w:val="both"/>
              <w:rPr>
                <w:rFonts w:ascii="Bookman Old Style" w:hAnsi="Bookman Old Style" w:cstheme="majorBidi"/>
                <w:color w:val="000000" w:themeColor="text1"/>
                <w:sz w:val="20"/>
                <w:szCs w:val="20"/>
              </w:rPr>
            </w:pPr>
            <w:r w:rsidRPr="0041486A">
              <w:rPr>
                <w:rFonts w:ascii="Bookman Old Style" w:hAnsi="Bookman Old Style" w:cstheme="majorBidi"/>
                <w:b/>
                <w:bCs/>
                <w:color w:val="000000" w:themeColor="text1"/>
                <w:sz w:val="20"/>
                <w:szCs w:val="20"/>
              </w:rPr>
              <w:t>Kepada masyarakat:</w:t>
            </w:r>
            <w:r w:rsidRPr="0041486A">
              <w:rPr>
                <w:rFonts w:ascii="Bookman Old Style" w:hAnsi="Bookman Old Style" w:cstheme="majorBidi"/>
                <w:color w:val="000000" w:themeColor="text1"/>
                <w:sz w:val="20"/>
                <w:szCs w:val="20"/>
              </w:rPr>
              <w:t xml:space="preserve"> Harta </w:t>
            </w:r>
            <w:r w:rsidRPr="0041486A">
              <w:rPr>
                <w:rFonts w:ascii="Bookman Old Style" w:hAnsi="Bookman Old Style" w:cstheme="majorBidi"/>
                <w:color w:val="000000" w:themeColor="text1"/>
                <w:sz w:val="20"/>
                <w:szCs w:val="20"/>
              </w:rPr>
              <w:lastRenderedPageBreak/>
              <w:t xml:space="preserve">wakaf yang sudah dibuatkan sertifikasi, tercatat, terdata, dan terlapor senantiasa disampaikan kepada masyarakat khususnya pengelola wakaf yang telah diberi amanah untuk memastikan bahwa harta wakaf tersebut benar-benar digunakan untuk kemaslahatan umat. </w:t>
            </w:r>
          </w:p>
          <w:p w14:paraId="41BB2BD9" w14:textId="77777777" w:rsidR="000A7C53" w:rsidRPr="0041486A" w:rsidRDefault="000A7C53" w:rsidP="000A7C53">
            <w:pPr>
              <w:pStyle w:val="ListParagraph"/>
              <w:numPr>
                <w:ilvl w:val="0"/>
                <w:numId w:val="35"/>
              </w:numPr>
              <w:jc w:val="both"/>
              <w:rPr>
                <w:rFonts w:ascii="Bookman Old Style" w:hAnsi="Bookman Old Style" w:cstheme="majorBidi"/>
                <w:color w:val="000000" w:themeColor="text1"/>
                <w:sz w:val="20"/>
                <w:szCs w:val="20"/>
              </w:rPr>
            </w:pPr>
            <w:r w:rsidRPr="0041486A">
              <w:rPr>
                <w:rFonts w:ascii="Bookman Old Style" w:hAnsi="Bookman Old Style" w:cstheme="majorBidi"/>
                <w:b/>
                <w:bCs/>
                <w:color w:val="000000" w:themeColor="text1"/>
                <w:sz w:val="20"/>
                <w:szCs w:val="20"/>
              </w:rPr>
              <w:t>Kepada Alam/Lingkungan:</w:t>
            </w:r>
            <w:r w:rsidRPr="0041486A">
              <w:rPr>
                <w:rFonts w:ascii="Bookman Old Style" w:hAnsi="Bookman Old Style" w:cstheme="majorBidi"/>
                <w:color w:val="000000" w:themeColor="text1"/>
                <w:sz w:val="20"/>
                <w:szCs w:val="20"/>
              </w:rPr>
              <w:t xml:space="preserve"> Harta wakaf yang ada hendaknya dikelola secara beranggung jawab dan profesional tanpa mengesampingkan dampak lingkungan. misalnya pembangunan Pesantren Hasan Yamani juga tetap harus memperhatikan AMDAL dan IMB.</w:t>
            </w:r>
          </w:p>
        </w:tc>
      </w:tr>
    </w:tbl>
    <w:p w14:paraId="407B8CE4" w14:textId="09FE3D4E" w:rsidR="00D56E31" w:rsidRPr="0041486A" w:rsidRDefault="00E753FA" w:rsidP="00B23860">
      <w:pPr>
        <w:spacing w:after="0" w:line="240" w:lineRule="auto"/>
        <w:rPr>
          <w:rFonts w:ascii="Bookman Old Style" w:hAnsi="Bookman Old Style" w:cs="Times New Roman"/>
          <w:b/>
          <w:i/>
          <w:iCs/>
          <w:color w:val="000000" w:themeColor="text1"/>
          <w:sz w:val="20"/>
          <w:szCs w:val="24"/>
          <w:lang w:val="en-US"/>
        </w:rPr>
      </w:pPr>
      <w:r w:rsidRPr="0041486A">
        <w:rPr>
          <w:rFonts w:ascii="Bookman Old Style" w:hAnsi="Bookman Old Style" w:cs="Times New Roman"/>
          <w:b/>
          <w:i/>
          <w:iCs/>
          <w:color w:val="000000" w:themeColor="text1"/>
          <w:sz w:val="20"/>
          <w:szCs w:val="24"/>
          <w:lang w:val="en-US"/>
        </w:rPr>
        <w:lastRenderedPageBreak/>
        <w:t>Sumber: Interpretasi Peneliti (2020)</w:t>
      </w:r>
    </w:p>
    <w:p w14:paraId="79828E3B" w14:textId="77777777" w:rsidR="00E753FA" w:rsidRPr="0041486A" w:rsidRDefault="00E753FA" w:rsidP="00B23860">
      <w:pPr>
        <w:spacing w:after="0" w:line="240" w:lineRule="auto"/>
        <w:rPr>
          <w:rFonts w:ascii="Bookman Old Style" w:eastAsia="Garamond" w:hAnsi="Bookman Old Style" w:cs="Garamond"/>
          <w:color w:val="000000" w:themeColor="text1"/>
          <w:sz w:val="20"/>
          <w:szCs w:val="20"/>
          <w:lang w:val="en-US"/>
        </w:rPr>
      </w:pPr>
    </w:p>
    <w:p w14:paraId="29EBBA23" w14:textId="4530C5BE" w:rsidR="00E15747" w:rsidRPr="0041486A" w:rsidRDefault="003307DB" w:rsidP="00B23860">
      <w:pPr>
        <w:spacing w:after="0" w:line="240" w:lineRule="auto"/>
        <w:rPr>
          <w:rFonts w:ascii="Bookman Old Style" w:eastAsia="Garamond" w:hAnsi="Bookman Old Style" w:cs="Garamond"/>
          <w:b/>
          <w:color w:val="000000" w:themeColor="text1"/>
          <w:sz w:val="20"/>
          <w:szCs w:val="20"/>
        </w:rPr>
      </w:pPr>
      <w:r w:rsidRPr="0041486A">
        <w:rPr>
          <w:rFonts w:ascii="Bookman Old Style" w:eastAsia="Garamond" w:hAnsi="Bookman Old Style" w:cs="Garamond"/>
          <w:b/>
          <w:color w:val="000000" w:themeColor="text1"/>
          <w:sz w:val="20"/>
          <w:szCs w:val="20"/>
          <w:lang w:val="en-US"/>
        </w:rPr>
        <w:t>Kesimpulan</w:t>
      </w:r>
    </w:p>
    <w:p w14:paraId="681E173D" w14:textId="375F93D9" w:rsidR="00F956D4" w:rsidRPr="0041486A" w:rsidRDefault="00F956D4" w:rsidP="00B23860">
      <w:pPr>
        <w:spacing w:after="0" w:line="240" w:lineRule="auto"/>
        <w:ind w:firstLine="567"/>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t xml:space="preserve">Berdasakan penelitian yang dilakukan, peneliti menyimpulkan bahwa pengakuan, pengukuran, penyajian dan pengungkapan wakaf yang dilakukan di Kementerian Agama Kabupaten Polewali Mandar masih dilakukan secara sederhana dan merujuk kepada aturan yang diterbitkan dari Kementerian Agama Pusat. Adapun hasil yang didapatkan dilapangan bahwa kesesuaian perlakuan akuntansi wakaf di Kementerian Agama Kabupaten Polewali Mandar menurut PSAK 112 bahwa belum adanya penyesuaian terkait dengan standarisasi perlakuan akauntansi di Kementerian Agama Kabupaten Polewali Mandar. Namun dilihat dari </w:t>
      </w:r>
      <w:r w:rsidRPr="0041486A">
        <w:rPr>
          <w:rFonts w:ascii="Bookman Old Style" w:eastAsia="Garamond" w:hAnsi="Bookman Old Style" w:cs="Garamond"/>
          <w:i/>
          <w:color w:val="000000" w:themeColor="text1"/>
          <w:sz w:val="20"/>
          <w:szCs w:val="20"/>
          <w:lang w:val="en-US"/>
        </w:rPr>
        <w:t>Shariah Enterprise Theory</w:t>
      </w:r>
      <w:r w:rsidRPr="0041486A">
        <w:rPr>
          <w:rFonts w:ascii="Bookman Old Style" w:eastAsia="Garamond" w:hAnsi="Bookman Old Style" w:cs="Garamond"/>
          <w:color w:val="000000" w:themeColor="text1"/>
          <w:sz w:val="20"/>
          <w:szCs w:val="20"/>
          <w:lang w:val="en-US"/>
        </w:rPr>
        <w:t xml:space="preserve">, pengelolaan wakaf yang dilakukan di Kementerian Agama Kabupaten Polewali Mandar telah memenuhi aspek-aspek akuntabilitas yang dibuktikan dengan pembuatan berbagai dokumen resmi terkait kepemilikan yang berupa akta ikrar wakaf, pengelolaan, dan pengalokasian harta wakaf. </w:t>
      </w:r>
      <w:r w:rsidR="00452E23" w:rsidRPr="0041486A">
        <w:rPr>
          <w:rFonts w:ascii="Bookman Old Style" w:eastAsia="Garamond" w:hAnsi="Bookman Old Style" w:cs="Garamond"/>
          <w:color w:val="000000" w:themeColor="text1"/>
          <w:sz w:val="20"/>
          <w:szCs w:val="20"/>
          <w:lang w:val="en-US"/>
        </w:rPr>
        <w:t>Untuk penelitian selanjutnya diharapkan bisa mengakses laporan keuangan dan transaksi wakaf dengan berbagai metode dan pendekatan agar kiranya kualitas data yang diperoleh dapat ditingkatkan dan mampu untuk menjalankan metode dependabilitas guna mencapai level konsistensi jawaban mengenai informasi yang dibutuhkan dari informan agar dapat terealisasi secara maksimal. Keterbatasan dalam penelitian ini aksebilitas terhadap laporan keuanagn dan transaksi wakaf yang menurut objek penelitian hanya bisa diakses langsung ke Kementerian Agama Provinsi dan Pusat dan juga penggambaran perlakuan akuntansi wakaf yang kurang jelas dari informan.</w:t>
      </w:r>
    </w:p>
    <w:p w14:paraId="656E7BD7" w14:textId="77777777" w:rsidR="00F956D4" w:rsidRPr="0041486A" w:rsidRDefault="00F956D4" w:rsidP="00B23860">
      <w:pPr>
        <w:spacing w:after="0" w:line="240" w:lineRule="auto"/>
        <w:ind w:firstLine="567"/>
        <w:jc w:val="both"/>
        <w:rPr>
          <w:rFonts w:ascii="Bookman Old Style" w:eastAsia="Garamond" w:hAnsi="Bookman Old Style" w:cs="Garamond"/>
          <w:color w:val="000000" w:themeColor="text1"/>
          <w:sz w:val="20"/>
          <w:szCs w:val="20"/>
          <w:lang w:val="en-US"/>
        </w:rPr>
      </w:pPr>
    </w:p>
    <w:p w14:paraId="16F0A3CD" w14:textId="28C8BCE0" w:rsidR="000A7C53" w:rsidRPr="0041486A" w:rsidRDefault="00E15747" w:rsidP="000A7C53">
      <w:pPr>
        <w:spacing w:after="0" w:line="240" w:lineRule="auto"/>
        <w:rPr>
          <w:rFonts w:ascii="Bookman Old Style" w:eastAsia="Garamond" w:hAnsi="Bookman Old Style" w:cs="Garamond"/>
          <w:b/>
          <w:color w:val="000000" w:themeColor="text1"/>
          <w:sz w:val="20"/>
          <w:szCs w:val="20"/>
          <w:lang w:val="en-US"/>
        </w:rPr>
      </w:pPr>
      <w:r w:rsidRPr="0041486A">
        <w:rPr>
          <w:rFonts w:ascii="Bookman Old Style" w:eastAsia="Garamond" w:hAnsi="Bookman Old Style" w:cs="Garamond"/>
          <w:b/>
          <w:color w:val="000000" w:themeColor="text1"/>
          <w:sz w:val="20"/>
          <w:szCs w:val="20"/>
          <w:lang w:val="en-US"/>
        </w:rPr>
        <w:t>Daftar Pustaka</w:t>
      </w:r>
    </w:p>
    <w:p w14:paraId="3802A934" w14:textId="6A44A0C5" w:rsidR="000A7C53" w:rsidRPr="0041486A" w:rsidRDefault="00E753FA" w:rsidP="000A7C53">
      <w:pPr>
        <w:spacing w:after="0" w:line="240" w:lineRule="auto"/>
        <w:rPr>
          <w:rFonts w:ascii="Bookman Old Style" w:eastAsia="Garamond" w:hAnsi="Bookman Old Style" w:cs="Garamond"/>
          <w:b/>
          <w:color w:val="000000" w:themeColor="text1"/>
          <w:sz w:val="20"/>
          <w:szCs w:val="20"/>
          <w:lang w:val="en-US"/>
        </w:rPr>
      </w:pPr>
      <w:r w:rsidRPr="0041486A">
        <w:rPr>
          <w:rFonts w:ascii="Bookman Old Style" w:eastAsia="Garamond" w:hAnsi="Bookman Old Style" w:cs="Garamond"/>
          <w:b/>
          <w:color w:val="000000" w:themeColor="text1"/>
          <w:sz w:val="20"/>
          <w:szCs w:val="20"/>
          <w:lang w:val="en-US"/>
        </w:rPr>
        <w:t>Al-Qur’an Terjemahan dan Tafsir Kementerian Agama Republik Indonesia</w:t>
      </w:r>
    </w:p>
    <w:p w14:paraId="1156FDFE" w14:textId="4CA662EF" w:rsidR="009B1138" w:rsidRPr="0041486A" w:rsidRDefault="00C77BAA"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eastAsia="Garamond" w:hAnsi="Bookman Old Style" w:cs="Garamond"/>
          <w:color w:val="000000" w:themeColor="text1"/>
          <w:sz w:val="20"/>
          <w:szCs w:val="20"/>
          <w:lang w:val="en-US"/>
        </w:rPr>
        <w:fldChar w:fldCharType="begin" w:fldLock="1"/>
      </w:r>
      <w:r w:rsidRPr="0041486A">
        <w:rPr>
          <w:rFonts w:ascii="Bookman Old Style" w:eastAsia="Garamond" w:hAnsi="Bookman Old Style" w:cs="Garamond"/>
          <w:color w:val="000000" w:themeColor="text1"/>
          <w:sz w:val="20"/>
          <w:szCs w:val="20"/>
          <w:lang w:val="en-US"/>
        </w:rPr>
        <w:instrText xml:space="preserve">ADDIN Mendeley Bibliography CSL_BIBLIOGRAPHY </w:instrText>
      </w:r>
      <w:r w:rsidRPr="0041486A">
        <w:rPr>
          <w:rFonts w:ascii="Bookman Old Style" w:eastAsia="Garamond" w:hAnsi="Bookman Old Style" w:cs="Garamond"/>
          <w:color w:val="000000" w:themeColor="text1"/>
          <w:sz w:val="20"/>
          <w:szCs w:val="20"/>
          <w:lang w:val="en-US"/>
        </w:rPr>
        <w:fldChar w:fldCharType="separate"/>
      </w:r>
      <w:r w:rsidR="009B1138" w:rsidRPr="0041486A">
        <w:rPr>
          <w:rFonts w:ascii="Bookman Old Style" w:hAnsi="Bookman Old Style" w:cs="Times New Roman"/>
          <w:color w:val="000000" w:themeColor="text1"/>
          <w:sz w:val="20"/>
          <w:szCs w:val="24"/>
        </w:rPr>
        <w:t xml:space="preserve">Afandi, M. (2014). Revitalisasi Manajemen Wakaf Produktif di Indonesia. </w:t>
      </w:r>
      <w:r w:rsidR="009B1138" w:rsidRPr="0041486A">
        <w:rPr>
          <w:rFonts w:ascii="Bookman Old Style" w:hAnsi="Bookman Old Style" w:cs="Times New Roman"/>
          <w:i/>
          <w:iCs/>
          <w:color w:val="000000" w:themeColor="text1"/>
          <w:sz w:val="20"/>
          <w:szCs w:val="24"/>
        </w:rPr>
        <w:t>Et-Tijarie</w:t>
      </w:r>
      <w:r w:rsidR="009B1138" w:rsidRPr="0041486A">
        <w:rPr>
          <w:rFonts w:ascii="Bookman Old Style" w:hAnsi="Bookman Old Style" w:cs="Times New Roman"/>
          <w:color w:val="000000" w:themeColor="text1"/>
          <w:sz w:val="20"/>
          <w:szCs w:val="24"/>
        </w:rPr>
        <w:t xml:space="preserve">, </w:t>
      </w:r>
      <w:r w:rsidR="009B1138" w:rsidRPr="0041486A">
        <w:rPr>
          <w:rFonts w:ascii="Bookman Old Style" w:hAnsi="Bookman Old Style" w:cs="Times New Roman"/>
          <w:i/>
          <w:iCs/>
          <w:color w:val="000000" w:themeColor="text1"/>
          <w:sz w:val="20"/>
          <w:szCs w:val="24"/>
        </w:rPr>
        <w:t>1(1)</w:t>
      </w:r>
      <w:r w:rsidR="009B1138" w:rsidRPr="0041486A">
        <w:rPr>
          <w:rFonts w:ascii="Bookman Old Style" w:hAnsi="Bookman Old Style" w:cs="Times New Roman"/>
          <w:color w:val="000000" w:themeColor="text1"/>
          <w:sz w:val="20"/>
          <w:szCs w:val="24"/>
        </w:rPr>
        <w:t>, 74–90.</w:t>
      </w:r>
    </w:p>
    <w:p w14:paraId="515AB49E"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Ardiansyah, M. (2014). Bayang-Bayang Teori Keagenan pada Produk Pembiayaan Perbankan Syariah [The Shadows of Agency Theory on Islamic Banking Financing Products]. </w:t>
      </w:r>
      <w:r w:rsidRPr="0041486A">
        <w:rPr>
          <w:rFonts w:ascii="Bookman Old Style" w:hAnsi="Bookman Old Style" w:cs="Times New Roman"/>
          <w:i/>
          <w:iCs/>
          <w:color w:val="000000" w:themeColor="text1"/>
          <w:sz w:val="20"/>
          <w:szCs w:val="24"/>
        </w:rPr>
        <w:t>Ijtihad</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14(2)</w:t>
      </w:r>
      <w:r w:rsidRPr="0041486A">
        <w:rPr>
          <w:rFonts w:ascii="Bookman Old Style" w:hAnsi="Bookman Old Style" w:cs="Times New Roman"/>
          <w:color w:val="000000" w:themeColor="text1"/>
          <w:sz w:val="20"/>
          <w:szCs w:val="24"/>
        </w:rPr>
        <w:t>, 251–269.</w:t>
      </w:r>
    </w:p>
    <w:p w14:paraId="1FCFE5D8"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Budiman, A. A. (2011). Akuntabilitas Lembaga Pengelola Wakaf. </w:t>
      </w:r>
      <w:r w:rsidRPr="0041486A">
        <w:rPr>
          <w:rFonts w:ascii="Bookman Old Style" w:hAnsi="Bookman Old Style" w:cs="Times New Roman"/>
          <w:i/>
          <w:iCs/>
          <w:color w:val="000000" w:themeColor="text1"/>
          <w:sz w:val="20"/>
          <w:szCs w:val="24"/>
        </w:rPr>
        <w:t>Walisongo: Jurnal Penelitian Sosial Keagamaan</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19(1)</w:t>
      </w:r>
      <w:r w:rsidRPr="0041486A">
        <w:rPr>
          <w:rFonts w:ascii="Bookman Old Style" w:hAnsi="Bookman Old Style" w:cs="Times New Roman"/>
          <w:color w:val="000000" w:themeColor="text1"/>
          <w:sz w:val="20"/>
          <w:szCs w:val="24"/>
        </w:rPr>
        <w:t>, 75–102. https://doi.org/10.21580/ws.2011.19.1.213</w:t>
      </w:r>
    </w:p>
    <w:p w14:paraId="05B15E26"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Bulutoding, L., &amp; Akbar, M. R. (2018). Perbandingan Kinerja dan Pengungkapan Etika Islam pada PT Bank Muamalat dengan PT Bank BRI Syariah. </w:t>
      </w:r>
      <w:r w:rsidRPr="0041486A">
        <w:rPr>
          <w:rFonts w:ascii="Bookman Old Style" w:hAnsi="Bookman Old Style" w:cs="Times New Roman"/>
          <w:i/>
          <w:iCs/>
          <w:color w:val="000000" w:themeColor="text1"/>
          <w:sz w:val="20"/>
          <w:szCs w:val="24"/>
        </w:rPr>
        <w:t>AL-MASHRAFIYAH: Jurnal Ekonomi, Keuangan, Dan Perbankan Syariah</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2(1)</w:t>
      </w:r>
      <w:r w:rsidRPr="0041486A">
        <w:rPr>
          <w:rFonts w:ascii="Bookman Old Style" w:hAnsi="Bookman Old Style" w:cs="Times New Roman"/>
          <w:color w:val="000000" w:themeColor="text1"/>
          <w:sz w:val="20"/>
          <w:szCs w:val="24"/>
        </w:rPr>
        <w:t>, 27–41. https://doi.org/10.1017/CBO9781107415324.004</w:t>
      </w:r>
    </w:p>
    <w:p w14:paraId="007580A5"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lang w:val="en-US"/>
        </w:rPr>
      </w:pPr>
      <w:r w:rsidRPr="0041486A">
        <w:rPr>
          <w:rFonts w:ascii="Bookman Old Style" w:hAnsi="Bookman Old Style" w:cs="Times New Roman"/>
          <w:color w:val="000000" w:themeColor="text1"/>
          <w:sz w:val="20"/>
          <w:szCs w:val="24"/>
        </w:rPr>
        <w:lastRenderedPageBreak/>
        <w:t xml:space="preserve">Bulutoding, L., &amp; Umar, I. (2016). Kajian Kaffah Thinking Roduk Sukuk dalam Meningkatkan Pendanaan pada PT Bank SulSelBar Syariah Makassar. </w:t>
      </w:r>
      <w:r w:rsidRPr="0041486A">
        <w:rPr>
          <w:rFonts w:ascii="Bookman Old Style" w:hAnsi="Bookman Old Style" w:cs="Times New Roman"/>
          <w:i/>
          <w:iCs/>
          <w:color w:val="000000" w:themeColor="text1"/>
          <w:sz w:val="20"/>
          <w:szCs w:val="24"/>
        </w:rPr>
        <w:t>ASSETS</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6(2)</w:t>
      </w:r>
      <w:r w:rsidRPr="0041486A">
        <w:rPr>
          <w:rFonts w:ascii="Bookman Old Style" w:hAnsi="Bookman Old Style" w:cs="Times New Roman"/>
          <w:color w:val="000000" w:themeColor="text1"/>
          <w:sz w:val="20"/>
          <w:szCs w:val="24"/>
        </w:rPr>
        <w:t>, 221–232. https://doi.org/10.1017/CBO9781107415324.004</w:t>
      </w:r>
    </w:p>
    <w:p w14:paraId="65D89E20" w14:textId="4865082D" w:rsidR="00E753FA" w:rsidRPr="0041486A" w:rsidRDefault="00E753FA" w:rsidP="00711BFE">
      <w:pPr>
        <w:spacing w:after="0"/>
        <w:ind w:left="540" w:hanging="540"/>
        <w:jc w:val="both"/>
        <w:rPr>
          <w:rFonts w:ascii="Bookman Old Style" w:hAnsi="Bookman Old Style" w:cs="Times New Roman"/>
          <w:color w:val="000000" w:themeColor="text1"/>
          <w:sz w:val="20"/>
          <w:szCs w:val="20"/>
          <w:lang w:val="en-US"/>
        </w:rPr>
      </w:pPr>
      <w:r w:rsidRPr="0041486A">
        <w:rPr>
          <w:rFonts w:ascii="Bookman Old Style" w:hAnsi="Bookman Old Style" w:cs="Times New Roman"/>
          <w:color w:val="000000" w:themeColor="text1"/>
          <w:sz w:val="20"/>
          <w:szCs w:val="20"/>
          <w:lang w:val="en-US"/>
        </w:rPr>
        <w:t xml:space="preserve">DE PSAK 112 </w:t>
      </w:r>
      <w:r w:rsidR="00711BFE" w:rsidRPr="0041486A">
        <w:rPr>
          <w:rFonts w:ascii="Bookman Old Style" w:hAnsi="Bookman Old Style" w:cs="Times New Roman"/>
          <w:color w:val="000000" w:themeColor="text1"/>
          <w:sz w:val="20"/>
          <w:szCs w:val="20"/>
          <w:lang w:val="en-US"/>
        </w:rPr>
        <w:t xml:space="preserve">tersedia pada </w:t>
      </w:r>
      <w:r w:rsidR="00711BFE" w:rsidRPr="0041486A">
        <w:rPr>
          <w:rFonts w:ascii="Bookman Old Style" w:hAnsi="Bookman Old Style"/>
          <w:color w:val="000000" w:themeColor="text1"/>
          <w:sz w:val="20"/>
          <w:szCs w:val="20"/>
        </w:rPr>
        <w:t>http://www.iaiglobal.or.id/v03/files/file_berita/DE%20PSAK%20112%20(1).pdf./ (Diakses: Agustus 2019)</w:t>
      </w:r>
    </w:p>
    <w:p w14:paraId="36D4ED31" w14:textId="77777777" w:rsidR="009B1138" w:rsidRPr="0041486A" w:rsidRDefault="009B1138" w:rsidP="00711BFE">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Hazami, B. (2016). Peran dan Aplikasi Wakaf dalam Mewujudkan Kesejahteraan Umat di Indonesia. </w:t>
      </w:r>
      <w:r w:rsidRPr="0041486A">
        <w:rPr>
          <w:rFonts w:ascii="Bookman Old Style" w:hAnsi="Bookman Old Style" w:cs="Times New Roman"/>
          <w:i/>
          <w:iCs/>
          <w:color w:val="000000" w:themeColor="text1"/>
          <w:sz w:val="20"/>
          <w:szCs w:val="24"/>
        </w:rPr>
        <w:t>Analisis</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XVI(1)</w:t>
      </w:r>
      <w:r w:rsidRPr="0041486A">
        <w:rPr>
          <w:rFonts w:ascii="Bookman Old Style" w:hAnsi="Bookman Old Style" w:cs="Times New Roman"/>
          <w:color w:val="000000" w:themeColor="text1"/>
          <w:sz w:val="20"/>
          <w:szCs w:val="24"/>
        </w:rPr>
        <w:t>, 173–204.</w:t>
      </w:r>
    </w:p>
    <w:p w14:paraId="219C53EF"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Hidayat, R. (2018). Konsep Wakaf Yang Efektif Dalam Membangun Bangsa. </w:t>
      </w:r>
      <w:r w:rsidRPr="0041486A">
        <w:rPr>
          <w:rFonts w:ascii="Bookman Old Style" w:hAnsi="Bookman Old Style" w:cs="Times New Roman"/>
          <w:i/>
          <w:iCs/>
          <w:color w:val="000000" w:themeColor="text1"/>
          <w:sz w:val="20"/>
          <w:szCs w:val="24"/>
        </w:rPr>
        <w:t>Jurnal Ekonomi Dan Perbankan Syariah</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7(2)</w:t>
      </w:r>
      <w:r w:rsidRPr="0041486A">
        <w:rPr>
          <w:rFonts w:ascii="Bookman Old Style" w:hAnsi="Bookman Old Style" w:cs="Times New Roman"/>
          <w:color w:val="000000" w:themeColor="text1"/>
          <w:sz w:val="20"/>
          <w:szCs w:val="24"/>
        </w:rPr>
        <w:t>, 107–118.</w:t>
      </w:r>
    </w:p>
    <w:p w14:paraId="054CC2AE"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Huda, N., Anggraini, D., Rini, N., Hudori, K., &amp; Mardoni, Y. (2014). Akuntabilitas sebagai Sebuah Solusi Pengelolaan Wakaf. </w:t>
      </w:r>
      <w:r w:rsidRPr="0041486A">
        <w:rPr>
          <w:rFonts w:ascii="Bookman Old Style" w:hAnsi="Bookman Old Style" w:cs="Times New Roman"/>
          <w:i/>
          <w:iCs/>
          <w:color w:val="000000" w:themeColor="text1"/>
          <w:sz w:val="20"/>
          <w:szCs w:val="24"/>
        </w:rPr>
        <w:t>Jurnal Akuntansi Multiparadigma</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5(3)</w:t>
      </w:r>
      <w:r w:rsidRPr="0041486A">
        <w:rPr>
          <w:rFonts w:ascii="Bookman Old Style" w:hAnsi="Bookman Old Style" w:cs="Times New Roman"/>
          <w:color w:val="000000" w:themeColor="text1"/>
          <w:sz w:val="20"/>
          <w:szCs w:val="24"/>
        </w:rPr>
        <w:t>, 485–497. https://doi.org/10.18202/jamal.2014.12.5036</w:t>
      </w:r>
    </w:p>
    <w:p w14:paraId="6CD5524B"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Huda, N., Sentosa, P. W., &amp; Novarini, N. (2019). Persepsi Sivitas Akademika Muslim Terhadap Wakaf Uang. </w:t>
      </w:r>
      <w:r w:rsidRPr="0041486A">
        <w:rPr>
          <w:rFonts w:ascii="Bookman Old Style" w:hAnsi="Bookman Old Style" w:cs="Times New Roman"/>
          <w:i/>
          <w:iCs/>
          <w:color w:val="000000" w:themeColor="text1"/>
          <w:sz w:val="20"/>
          <w:szCs w:val="24"/>
        </w:rPr>
        <w:t>Ekspansi: Jurnal Ekonomi, Keuangan, Perbankan Dan Akuntansi</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11(1)</w:t>
      </w:r>
      <w:r w:rsidRPr="0041486A">
        <w:rPr>
          <w:rFonts w:ascii="Bookman Old Style" w:hAnsi="Bookman Old Style" w:cs="Times New Roman"/>
          <w:color w:val="000000" w:themeColor="text1"/>
          <w:sz w:val="20"/>
          <w:szCs w:val="24"/>
        </w:rPr>
        <w:t>, 77–86. https://doi.org/10.35313/ekspansi.v11i1.1328</w:t>
      </w:r>
    </w:p>
    <w:p w14:paraId="4EC2F338"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Kristianto, D. (2012). Implikasi Akuntansi Syariah dan Asuransi Syariah dalam Lembaga Keuangan Syariah. </w:t>
      </w:r>
      <w:r w:rsidRPr="0041486A">
        <w:rPr>
          <w:rFonts w:ascii="Bookman Old Style" w:hAnsi="Bookman Old Style" w:cs="Times New Roman"/>
          <w:i/>
          <w:iCs/>
          <w:color w:val="000000" w:themeColor="text1"/>
          <w:sz w:val="20"/>
          <w:szCs w:val="24"/>
        </w:rPr>
        <w:t>Jurnal Akuntansi Dan Sistem Teknologi Informasi</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7(1)</w:t>
      </w:r>
      <w:r w:rsidRPr="0041486A">
        <w:rPr>
          <w:rFonts w:ascii="Bookman Old Style" w:hAnsi="Bookman Old Style" w:cs="Times New Roman"/>
          <w:color w:val="000000" w:themeColor="text1"/>
          <w:sz w:val="20"/>
          <w:szCs w:val="24"/>
        </w:rPr>
        <w:t>, 61–68.</w:t>
      </w:r>
    </w:p>
    <w:p w14:paraId="27F97B72"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Lestari, W., &amp; Thantawi, R. (2016). Efektivitas Pengelolaan Wakaf Tunai Di Badan Wakaf Indonesia. </w:t>
      </w:r>
      <w:r w:rsidRPr="0041486A">
        <w:rPr>
          <w:rFonts w:ascii="Bookman Old Style" w:hAnsi="Bookman Old Style" w:cs="Times New Roman"/>
          <w:i/>
          <w:iCs/>
          <w:color w:val="000000" w:themeColor="text1"/>
          <w:sz w:val="20"/>
          <w:szCs w:val="24"/>
        </w:rPr>
        <w:t>Jurnal Syarikah</w:t>
      </w:r>
      <w:r w:rsidRPr="0041486A">
        <w:rPr>
          <w:rFonts w:ascii="Times New Roman" w:hAnsi="Times New Roman" w:cs="Times New Roman"/>
          <w:i/>
          <w:iCs/>
          <w:color w:val="000000" w:themeColor="text1"/>
          <w:sz w:val="20"/>
          <w:szCs w:val="24"/>
        </w:rPr>
        <w:t> </w:t>
      </w:r>
      <w:r w:rsidRPr="0041486A">
        <w:rPr>
          <w:rFonts w:ascii="Bookman Old Style" w:hAnsi="Bookman Old Style" w:cs="Times New Roman"/>
          <w:i/>
          <w:iCs/>
          <w:color w:val="000000" w:themeColor="text1"/>
          <w:sz w:val="20"/>
          <w:szCs w:val="24"/>
        </w:rPr>
        <w:t>: Jurnal Ekonomi Islam</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2(1)</w:t>
      </w:r>
      <w:r w:rsidRPr="0041486A">
        <w:rPr>
          <w:rFonts w:ascii="Bookman Old Style" w:hAnsi="Bookman Old Style" w:cs="Times New Roman"/>
          <w:color w:val="000000" w:themeColor="text1"/>
          <w:sz w:val="20"/>
          <w:szCs w:val="24"/>
        </w:rPr>
        <w:t>, 214–234. https://doi.org/10.30997/jsei.v2i1.291</w:t>
      </w:r>
    </w:p>
    <w:p w14:paraId="29017E8F"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Muhtar, A. (2015). Potensi Wakaf menjadi Lembaga Keuangan Publik. </w:t>
      </w:r>
      <w:r w:rsidRPr="0041486A">
        <w:rPr>
          <w:rFonts w:ascii="Bookman Old Style" w:hAnsi="Bookman Old Style" w:cs="Times New Roman"/>
          <w:i/>
          <w:iCs/>
          <w:color w:val="000000" w:themeColor="text1"/>
          <w:sz w:val="20"/>
          <w:szCs w:val="24"/>
        </w:rPr>
        <w:t>Asy-Syari’ah</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17(1)</w:t>
      </w:r>
      <w:r w:rsidRPr="0041486A">
        <w:rPr>
          <w:rFonts w:ascii="Bookman Old Style" w:hAnsi="Bookman Old Style" w:cs="Times New Roman"/>
          <w:color w:val="000000" w:themeColor="text1"/>
          <w:sz w:val="20"/>
          <w:szCs w:val="24"/>
        </w:rPr>
        <w:t>, 9–18. https://doi.org/10.16526/j.cnki.11-4762/tp.2014.11.051</w:t>
      </w:r>
    </w:p>
    <w:p w14:paraId="39610BFE"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Mulyasari, W. (2017). Sistem Akuntansi Wakaf sebagai Bentuk Pertanggungjawaban Harta Wakaf ke Publik. </w:t>
      </w:r>
      <w:r w:rsidRPr="0041486A">
        <w:rPr>
          <w:rFonts w:ascii="Bookman Old Style" w:hAnsi="Bookman Old Style" w:cs="Times New Roman"/>
          <w:i/>
          <w:iCs/>
          <w:color w:val="000000" w:themeColor="text1"/>
          <w:sz w:val="20"/>
          <w:szCs w:val="24"/>
        </w:rPr>
        <w:t>Jurnal Riset Akuntansi Terpadu</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10(1)</w:t>
      </w:r>
      <w:r w:rsidRPr="0041486A">
        <w:rPr>
          <w:rFonts w:ascii="Bookman Old Style" w:hAnsi="Bookman Old Style" w:cs="Times New Roman"/>
          <w:color w:val="000000" w:themeColor="text1"/>
          <w:sz w:val="20"/>
          <w:szCs w:val="24"/>
        </w:rPr>
        <w:t>, 16–28. https://doi.org/10.1017/CBO9781107415324.004</w:t>
      </w:r>
    </w:p>
    <w:p w14:paraId="5B15D328"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Munir, A. S. (2015). Optimalisasi Pemberdayaan Wakaf Secara Produktif. </w:t>
      </w:r>
      <w:r w:rsidRPr="0041486A">
        <w:rPr>
          <w:rFonts w:ascii="Bookman Old Style" w:hAnsi="Bookman Old Style" w:cs="Times New Roman"/>
          <w:i/>
          <w:iCs/>
          <w:color w:val="000000" w:themeColor="text1"/>
          <w:sz w:val="20"/>
          <w:szCs w:val="24"/>
        </w:rPr>
        <w:t>Ummul Quro</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6(2)</w:t>
      </w:r>
      <w:r w:rsidRPr="0041486A">
        <w:rPr>
          <w:rFonts w:ascii="Bookman Old Style" w:hAnsi="Bookman Old Style" w:cs="Times New Roman"/>
          <w:color w:val="000000" w:themeColor="text1"/>
          <w:sz w:val="20"/>
          <w:szCs w:val="24"/>
        </w:rPr>
        <w:t>, 94–109.</w:t>
      </w:r>
    </w:p>
    <w:p w14:paraId="6F529519"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Munir, Z. A. (2013). Revitalisasi Manajemen Wakaf Sebagai Penggerak Ekonomi Masyarakat. </w:t>
      </w:r>
      <w:r w:rsidRPr="0041486A">
        <w:rPr>
          <w:rFonts w:ascii="Bookman Old Style" w:hAnsi="Bookman Old Style" w:cs="Times New Roman"/>
          <w:i/>
          <w:iCs/>
          <w:color w:val="000000" w:themeColor="text1"/>
          <w:sz w:val="20"/>
          <w:szCs w:val="24"/>
        </w:rPr>
        <w:t>Journal de Jure</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5(2)</w:t>
      </w:r>
      <w:r w:rsidRPr="0041486A">
        <w:rPr>
          <w:rFonts w:ascii="Bookman Old Style" w:hAnsi="Bookman Old Style" w:cs="Times New Roman"/>
          <w:color w:val="000000" w:themeColor="text1"/>
          <w:sz w:val="20"/>
          <w:szCs w:val="24"/>
        </w:rPr>
        <w:t>, 162–171. https://doi.org/10.18860/j-fsh.v5i2.3007</w:t>
      </w:r>
    </w:p>
    <w:p w14:paraId="4E2ECBAE"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Nisa, F., Bayuni, E. M., &amp; Eprianti, N. (2019). Efektivitas Pelayanan Penghimpunan Dana Wakaf terhadap Kepuasan Donatur di Sinergi Foundation Menggunakan Metode DEA. </w:t>
      </w:r>
      <w:r w:rsidRPr="0041486A">
        <w:rPr>
          <w:rFonts w:ascii="Bookman Old Style" w:hAnsi="Bookman Old Style" w:cs="Times New Roman"/>
          <w:i/>
          <w:iCs/>
          <w:color w:val="000000" w:themeColor="text1"/>
          <w:sz w:val="20"/>
          <w:szCs w:val="24"/>
        </w:rPr>
        <w:t>Prosiding Hukum Ekonomi Syariah</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5(2)</w:t>
      </w:r>
      <w:r w:rsidRPr="0041486A">
        <w:rPr>
          <w:rFonts w:ascii="Bookman Old Style" w:hAnsi="Bookman Old Style" w:cs="Times New Roman"/>
          <w:color w:val="000000" w:themeColor="text1"/>
          <w:sz w:val="20"/>
          <w:szCs w:val="24"/>
        </w:rPr>
        <w:t>, 641–648.</w:t>
      </w:r>
    </w:p>
    <w:p w14:paraId="7448A5C1"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Nurhidayani, Yasin, M., &amp; Busaini. (2017). Pengelolaan dan Pemanfaatan Wakaf Tanah dan Bangunan. </w:t>
      </w:r>
      <w:r w:rsidRPr="0041486A">
        <w:rPr>
          <w:rFonts w:ascii="Bookman Old Style" w:hAnsi="Bookman Old Style" w:cs="Times New Roman"/>
          <w:i/>
          <w:iCs/>
          <w:color w:val="000000" w:themeColor="text1"/>
          <w:sz w:val="20"/>
          <w:szCs w:val="24"/>
        </w:rPr>
        <w:t>Maqdis: Jurnal Kajian Ekonomi Islam</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2(2)</w:t>
      </w:r>
      <w:r w:rsidRPr="0041486A">
        <w:rPr>
          <w:rFonts w:ascii="Bookman Old Style" w:hAnsi="Bookman Old Style" w:cs="Times New Roman"/>
          <w:color w:val="000000" w:themeColor="text1"/>
          <w:sz w:val="20"/>
          <w:szCs w:val="24"/>
        </w:rPr>
        <w:t>, 163–175.</w:t>
      </w:r>
    </w:p>
    <w:p w14:paraId="220BCB43"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lang w:val="en-US"/>
        </w:rPr>
      </w:pPr>
      <w:r w:rsidRPr="0041486A">
        <w:rPr>
          <w:rFonts w:ascii="Bookman Old Style" w:hAnsi="Bookman Old Style" w:cs="Times New Roman"/>
          <w:color w:val="000000" w:themeColor="text1"/>
          <w:sz w:val="20"/>
          <w:szCs w:val="24"/>
        </w:rPr>
        <w:t xml:space="preserve">Nurhidayati, S. S., Sulistiani, S. L., &amp; Hidayat, Y. R. (2019). Efektivitas Strategi Fundraising Wakaf Melalui Uang Berbasis Online di Lembaga Wakaf Daarut Tauhiid. </w:t>
      </w:r>
      <w:r w:rsidRPr="0041486A">
        <w:rPr>
          <w:rFonts w:ascii="Bookman Old Style" w:hAnsi="Bookman Old Style" w:cs="Times New Roman"/>
          <w:i/>
          <w:iCs/>
          <w:color w:val="000000" w:themeColor="text1"/>
          <w:sz w:val="20"/>
          <w:szCs w:val="24"/>
        </w:rPr>
        <w:t>Prosiding Hukum Ekonomi Syariah</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5(2)</w:t>
      </w:r>
      <w:r w:rsidRPr="0041486A">
        <w:rPr>
          <w:rFonts w:ascii="Bookman Old Style" w:hAnsi="Bookman Old Style" w:cs="Times New Roman"/>
          <w:color w:val="000000" w:themeColor="text1"/>
          <w:sz w:val="20"/>
          <w:szCs w:val="24"/>
        </w:rPr>
        <w:t>(2), 624–629.</w:t>
      </w:r>
    </w:p>
    <w:p w14:paraId="6E3EA18C" w14:textId="3DE1D39F" w:rsidR="00E753FA" w:rsidRPr="0041486A" w:rsidRDefault="00E753FA"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lang w:val="en-US"/>
        </w:rPr>
      </w:pPr>
      <w:r w:rsidRPr="0041486A">
        <w:rPr>
          <w:rFonts w:ascii="Bookman Old Style" w:hAnsi="Bookman Old Style" w:cs="Times New Roman"/>
          <w:color w:val="000000" w:themeColor="text1"/>
          <w:sz w:val="20"/>
          <w:szCs w:val="24"/>
          <w:lang w:val="en-US"/>
        </w:rPr>
        <w:t>Peraturan Pemerintah no. 42 tahun 2006</w:t>
      </w:r>
    </w:p>
    <w:p w14:paraId="39817D6A"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Pramono, N. H. (2013). Optimalisasi Pembiayaan Berbasis Bagi Hasil pada Bank Syariah di Indonesia. </w:t>
      </w:r>
      <w:r w:rsidRPr="0041486A">
        <w:rPr>
          <w:rFonts w:ascii="Bookman Old Style" w:hAnsi="Bookman Old Style" w:cs="Times New Roman"/>
          <w:i/>
          <w:iCs/>
          <w:color w:val="000000" w:themeColor="text1"/>
          <w:sz w:val="20"/>
          <w:szCs w:val="24"/>
        </w:rPr>
        <w:t>Accounting Analysis Journal</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2(2)</w:t>
      </w:r>
      <w:r w:rsidRPr="0041486A">
        <w:rPr>
          <w:rFonts w:ascii="Bookman Old Style" w:hAnsi="Bookman Old Style" w:cs="Times New Roman"/>
          <w:color w:val="000000" w:themeColor="text1"/>
          <w:sz w:val="20"/>
          <w:szCs w:val="24"/>
        </w:rPr>
        <w:t>, 154–162.</w:t>
      </w:r>
    </w:p>
    <w:p w14:paraId="37B52E90"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Putri, N. N. E., &amp; Santoso, C. B. (2019). Analisa Penerapan PSAK 112 tentang Transaksi Wakaf terhadap Penerimaan, Pengelolaan dan Pengembangan Aset Wakaf Studi Kasus pada Badan Wakaf Indonesia Kota Batam. </w:t>
      </w:r>
      <w:r w:rsidRPr="0041486A">
        <w:rPr>
          <w:rFonts w:ascii="Bookman Old Style" w:hAnsi="Bookman Old Style" w:cs="Times New Roman"/>
          <w:i/>
          <w:iCs/>
          <w:color w:val="000000" w:themeColor="text1"/>
          <w:sz w:val="20"/>
          <w:szCs w:val="24"/>
        </w:rPr>
        <w:t>Measurement</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13(2)</w:t>
      </w:r>
      <w:r w:rsidRPr="0041486A">
        <w:rPr>
          <w:rFonts w:ascii="Bookman Old Style" w:hAnsi="Bookman Old Style" w:cs="Times New Roman"/>
          <w:color w:val="000000" w:themeColor="text1"/>
          <w:sz w:val="20"/>
          <w:szCs w:val="24"/>
        </w:rPr>
        <w:t>, 1–10.</w:t>
      </w:r>
    </w:p>
    <w:p w14:paraId="3CC82919"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Rusydiana, A. S., &amp; Al Farisi, S. (2016). How Far Has Our Wakaf Been Researched? </w:t>
      </w:r>
      <w:r w:rsidRPr="0041486A">
        <w:rPr>
          <w:rFonts w:ascii="Bookman Old Style" w:hAnsi="Bookman Old Style" w:cs="Times New Roman"/>
          <w:i/>
          <w:iCs/>
          <w:color w:val="000000" w:themeColor="text1"/>
          <w:sz w:val="20"/>
          <w:szCs w:val="24"/>
        </w:rPr>
        <w:t>Etikonomi</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15(1)</w:t>
      </w:r>
      <w:r w:rsidRPr="0041486A">
        <w:rPr>
          <w:rFonts w:ascii="Bookman Old Style" w:hAnsi="Bookman Old Style" w:cs="Times New Roman"/>
          <w:color w:val="000000" w:themeColor="text1"/>
          <w:sz w:val="20"/>
          <w:szCs w:val="24"/>
        </w:rPr>
        <w:t>, 31–42. https://doi.org/10.15408/etk.v15i1.3110</w:t>
      </w:r>
    </w:p>
    <w:p w14:paraId="65DD754D"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Said, S., &amp; Amiruddin,  andi muhammad ali. (2019). Wakaf Tunai dan Pemberdayaan Ekonomi Masyarakat. </w:t>
      </w:r>
      <w:r w:rsidRPr="0041486A">
        <w:rPr>
          <w:rFonts w:ascii="Bookman Old Style" w:hAnsi="Bookman Old Style" w:cs="Times New Roman"/>
          <w:i/>
          <w:iCs/>
          <w:color w:val="000000" w:themeColor="text1"/>
          <w:sz w:val="20"/>
          <w:szCs w:val="24"/>
        </w:rPr>
        <w:t>AL-MASHRAFIYAH: Jurnal Ekonomi, Keuangan, Dan Perbankan Syariah</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3(1)</w:t>
      </w:r>
      <w:r w:rsidRPr="0041486A">
        <w:rPr>
          <w:rFonts w:ascii="Bookman Old Style" w:hAnsi="Bookman Old Style" w:cs="Times New Roman"/>
          <w:color w:val="000000" w:themeColor="text1"/>
          <w:sz w:val="20"/>
          <w:szCs w:val="24"/>
        </w:rPr>
        <w:t>, 43–55. https://doi.org/10.1017/CBO9781107415324.004</w:t>
      </w:r>
    </w:p>
    <w:p w14:paraId="7BEA0746"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Senjiati, I. H., Sulistiani, S. L., &amp; Mubarok, M. F. R. (2020). Analisis Fikih Wakaf dan Undang-Undang Nomor 41 tahun 2004 tentang Wakaf terhadap Perolehan Hak Nadzir pada Pengelolaan Wakaf Uang Nadzir Individu dikampung Tapos Cikalong Wetan. </w:t>
      </w:r>
      <w:r w:rsidRPr="0041486A">
        <w:rPr>
          <w:rFonts w:ascii="Bookman Old Style" w:hAnsi="Bookman Old Style" w:cs="Times New Roman"/>
          <w:i/>
          <w:iCs/>
          <w:color w:val="000000" w:themeColor="text1"/>
          <w:sz w:val="20"/>
          <w:szCs w:val="24"/>
        </w:rPr>
        <w:t>TAHKIM, Jurnal Peradaban Dan Hukum Islam</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3(1)</w:t>
      </w:r>
      <w:r w:rsidRPr="0041486A">
        <w:rPr>
          <w:rFonts w:ascii="Bookman Old Style" w:hAnsi="Bookman Old Style" w:cs="Times New Roman"/>
          <w:color w:val="000000" w:themeColor="text1"/>
          <w:sz w:val="20"/>
          <w:szCs w:val="24"/>
        </w:rPr>
        <w:t>, 77–88. https://doi.org/10.1017/CBO9781107415324.004</w:t>
      </w:r>
    </w:p>
    <w:p w14:paraId="5C2615BE"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rPr>
      </w:pPr>
      <w:r w:rsidRPr="0041486A">
        <w:rPr>
          <w:rFonts w:ascii="Bookman Old Style" w:hAnsi="Bookman Old Style" w:cs="Times New Roman"/>
          <w:color w:val="000000" w:themeColor="text1"/>
          <w:sz w:val="20"/>
          <w:szCs w:val="24"/>
        </w:rPr>
        <w:t xml:space="preserve">Suhendi, H. (2018). Optimalisasi Aset Wakaf sebagai Sumber Dana Pesantren melalui Pelembagaan Wakaf. </w:t>
      </w:r>
      <w:r w:rsidRPr="0041486A">
        <w:rPr>
          <w:rFonts w:ascii="Bookman Old Style" w:hAnsi="Bookman Old Style" w:cs="Times New Roman"/>
          <w:i/>
          <w:iCs/>
          <w:color w:val="000000" w:themeColor="text1"/>
          <w:sz w:val="20"/>
          <w:szCs w:val="24"/>
        </w:rPr>
        <w:t>TAHKIM, Jurnal Peradaban Dan Hukum Islam</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1(1)</w:t>
      </w:r>
      <w:r w:rsidRPr="0041486A">
        <w:rPr>
          <w:rFonts w:ascii="Bookman Old Style" w:hAnsi="Bookman Old Style" w:cs="Times New Roman"/>
          <w:color w:val="000000" w:themeColor="text1"/>
          <w:sz w:val="20"/>
          <w:szCs w:val="24"/>
        </w:rPr>
        <w:t>, 1–20.</w:t>
      </w:r>
    </w:p>
    <w:p w14:paraId="3C1D0A0B"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lang w:val="en-US"/>
        </w:rPr>
      </w:pPr>
      <w:r w:rsidRPr="0041486A">
        <w:rPr>
          <w:rFonts w:ascii="Bookman Old Style" w:hAnsi="Bookman Old Style" w:cs="Times New Roman"/>
          <w:color w:val="000000" w:themeColor="text1"/>
          <w:sz w:val="20"/>
          <w:szCs w:val="24"/>
        </w:rPr>
        <w:t xml:space="preserve">Sulaeman, A., Bayinah, A. N., &amp; Hidayat, R. (2020). Apakah Kepercayaan Muwakif ditentukan oleh Akuntabilitas Pengelolaan Wakaf Tunai dan Peran Nadzir? </w:t>
      </w:r>
      <w:r w:rsidRPr="0041486A">
        <w:rPr>
          <w:rFonts w:ascii="Bookman Old Style" w:hAnsi="Bookman Old Style" w:cs="Times New Roman"/>
          <w:i/>
          <w:iCs/>
          <w:color w:val="000000" w:themeColor="text1"/>
          <w:sz w:val="20"/>
          <w:szCs w:val="24"/>
        </w:rPr>
        <w:t xml:space="preserve">Jurnal </w:t>
      </w:r>
      <w:r w:rsidRPr="0041486A">
        <w:rPr>
          <w:rFonts w:ascii="Bookman Old Style" w:hAnsi="Bookman Old Style" w:cs="Times New Roman"/>
          <w:i/>
          <w:iCs/>
          <w:color w:val="000000" w:themeColor="text1"/>
          <w:sz w:val="20"/>
          <w:szCs w:val="24"/>
        </w:rPr>
        <w:lastRenderedPageBreak/>
        <w:t>Akuntansi Dan Keuangan Islam</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8(1)</w:t>
      </w:r>
      <w:r w:rsidRPr="0041486A">
        <w:rPr>
          <w:rFonts w:ascii="Bookman Old Style" w:hAnsi="Bookman Old Style" w:cs="Times New Roman"/>
          <w:color w:val="000000" w:themeColor="text1"/>
          <w:sz w:val="20"/>
          <w:szCs w:val="24"/>
        </w:rPr>
        <w:t>, 71–86.</w:t>
      </w:r>
    </w:p>
    <w:p w14:paraId="209776C8" w14:textId="2DAA02EA" w:rsidR="00E753FA" w:rsidRPr="0041486A" w:rsidRDefault="00E753FA" w:rsidP="00E753FA">
      <w:pPr>
        <w:widowControl w:val="0"/>
        <w:autoSpaceDE w:val="0"/>
        <w:autoSpaceDN w:val="0"/>
        <w:adjustRightInd w:val="0"/>
        <w:spacing w:after="0" w:line="240" w:lineRule="auto"/>
        <w:ind w:left="480" w:hanging="480"/>
        <w:jc w:val="both"/>
        <w:rPr>
          <w:rFonts w:ascii="Bookman Old Style" w:hAnsi="Bookman Old Style" w:cs="Times New Roman"/>
          <w:color w:val="000000" w:themeColor="text1"/>
          <w:sz w:val="20"/>
          <w:szCs w:val="24"/>
          <w:lang w:val="en-US"/>
        </w:rPr>
      </w:pPr>
      <w:r w:rsidRPr="0041486A">
        <w:rPr>
          <w:rFonts w:ascii="Bookman Old Style" w:hAnsi="Bookman Old Style" w:cs="Times New Roman"/>
          <w:color w:val="000000" w:themeColor="text1"/>
          <w:sz w:val="20"/>
          <w:szCs w:val="24"/>
          <w:lang w:val="en-US"/>
        </w:rPr>
        <w:t>Undang-Undang no 41 tahun 2004</w:t>
      </w:r>
    </w:p>
    <w:p w14:paraId="411710AD" w14:textId="77777777" w:rsidR="009B1138" w:rsidRPr="0041486A" w:rsidRDefault="009B1138" w:rsidP="00E753FA">
      <w:pPr>
        <w:widowControl w:val="0"/>
        <w:autoSpaceDE w:val="0"/>
        <w:autoSpaceDN w:val="0"/>
        <w:adjustRightInd w:val="0"/>
        <w:spacing w:after="0" w:line="240" w:lineRule="auto"/>
        <w:ind w:left="480" w:hanging="480"/>
        <w:jc w:val="both"/>
        <w:rPr>
          <w:rFonts w:ascii="Bookman Old Style" w:hAnsi="Bookman Old Style"/>
          <w:color w:val="000000" w:themeColor="text1"/>
          <w:sz w:val="20"/>
        </w:rPr>
      </w:pPr>
      <w:r w:rsidRPr="0041486A">
        <w:rPr>
          <w:rFonts w:ascii="Bookman Old Style" w:hAnsi="Bookman Old Style" w:cs="Times New Roman"/>
          <w:color w:val="000000" w:themeColor="text1"/>
          <w:sz w:val="20"/>
          <w:szCs w:val="24"/>
        </w:rPr>
        <w:t xml:space="preserve">Wulandari, S., Effendi, J., &amp; Saptono, I. T. (2019). Pemilihan Nazhir dalam Optimalisasi Pengelolaan Wakaf Uang. </w:t>
      </w:r>
      <w:r w:rsidRPr="0041486A">
        <w:rPr>
          <w:rFonts w:ascii="Bookman Old Style" w:hAnsi="Bookman Old Style" w:cs="Times New Roman"/>
          <w:i/>
          <w:iCs/>
          <w:color w:val="000000" w:themeColor="text1"/>
          <w:sz w:val="20"/>
          <w:szCs w:val="24"/>
        </w:rPr>
        <w:t>Jurnal Aplikasi Manajemen Dan Bisnis</w:t>
      </w:r>
      <w:r w:rsidRPr="0041486A">
        <w:rPr>
          <w:rFonts w:ascii="Bookman Old Style" w:hAnsi="Bookman Old Style" w:cs="Times New Roman"/>
          <w:color w:val="000000" w:themeColor="text1"/>
          <w:sz w:val="20"/>
          <w:szCs w:val="24"/>
        </w:rPr>
        <w:t xml:space="preserve">, </w:t>
      </w:r>
      <w:r w:rsidRPr="0041486A">
        <w:rPr>
          <w:rFonts w:ascii="Bookman Old Style" w:hAnsi="Bookman Old Style" w:cs="Times New Roman"/>
          <w:i/>
          <w:iCs/>
          <w:color w:val="000000" w:themeColor="text1"/>
          <w:sz w:val="20"/>
          <w:szCs w:val="24"/>
        </w:rPr>
        <w:t>5(2)</w:t>
      </w:r>
      <w:r w:rsidRPr="0041486A">
        <w:rPr>
          <w:rFonts w:ascii="Bookman Old Style" w:hAnsi="Bookman Old Style" w:cs="Times New Roman"/>
          <w:color w:val="000000" w:themeColor="text1"/>
          <w:sz w:val="20"/>
          <w:szCs w:val="24"/>
        </w:rPr>
        <w:t>, 295–307.</w:t>
      </w:r>
    </w:p>
    <w:p w14:paraId="013BF0D3" w14:textId="7616F648" w:rsidR="00E5131F" w:rsidRPr="0041486A" w:rsidRDefault="00C77BAA" w:rsidP="00E753FA">
      <w:pPr>
        <w:widowControl w:val="0"/>
        <w:autoSpaceDE w:val="0"/>
        <w:autoSpaceDN w:val="0"/>
        <w:adjustRightInd w:val="0"/>
        <w:spacing w:after="0" w:line="240" w:lineRule="auto"/>
        <w:ind w:left="480" w:hanging="480"/>
        <w:jc w:val="both"/>
        <w:rPr>
          <w:rFonts w:ascii="Bookman Old Style" w:eastAsia="Garamond" w:hAnsi="Bookman Old Style" w:cs="Garamond"/>
          <w:color w:val="000000" w:themeColor="text1"/>
          <w:sz w:val="20"/>
          <w:szCs w:val="20"/>
          <w:lang w:val="en-US"/>
        </w:rPr>
      </w:pPr>
      <w:r w:rsidRPr="0041486A">
        <w:rPr>
          <w:rFonts w:ascii="Bookman Old Style" w:eastAsia="Garamond" w:hAnsi="Bookman Old Style" w:cs="Garamond"/>
          <w:color w:val="000000" w:themeColor="text1"/>
          <w:sz w:val="20"/>
          <w:szCs w:val="20"/>
          <w:lang w:val="en-US"/>
        </w:rPr>
        <w:fldChar w:fldCharType="end"/>
      </w:r>
    </w:p>
    <w:p w14:paraId="13C2180C" w14:textId="77777777" w:rsidR="00B23860" w:rsidRPr="0041486A" w:rsidRDefault="00B23860" w:rsidP="005A64E2">
      <w:pPr>
        <w:pBdr>
          <w:top w:val="nil"/>
          <w:left w:val="nil"/>
          <w:bottom w:val="nil"/>
          <w:right w:val="nil"/>
          <w:between w:val="nil"/>
        </w:pBdr>
        <w:tabs>
          <w:tab w:val="left" w:pos="3619"/>
        </w:tabs>
        <w:spacing w:after="0" w:line="240" w:lineRule="auto"/>
        <w:ind w:left="1080" w:hanging="720"/>
        <w:rPr>
          <w:rFonts w:ascii="Bookman Old Style" w:eastAsia="Garamond" w:hAnsi="Bookman Old Style" w:cs="Garamond"/>
          <w:color w:val="000000" w:themeColor="text1"/>
          <w:sz w:val="20"/>
          <w:szCs w:val="20"/>
        </w:rPr>
      </w:pPr>
    </w:p>
    <w:p w14:paraId="18214B3F" w14:textId="78E82BA9" w:rsidR="00B23860" w:rsidRPr="0041486A" w:rsidRDefault="0053580A" w:rsidP="005A64E2">
      <w:pPr>
        <w:spacing w:after="0" w:line="240" w:lineRule="auto"/>
        <w:jc w:val="center"/>
        <w:rPr>
          <w:rFonts w:ascii="Bookman Old Style" w:eastAsia="Garamond" w:hAnsi="Bookman Old Style" w:cs="Garamond"/>
          <w:b/>
          <w:color w:val="000000" w:themeColor="text1"/>
          <w:sz w:val="20"/>
          <w:szCs w:val="20"/>
          <w:lang w:val="en-US"/>
        </w:rPr>
      </w:pPr>
      <w:r w:rsidRPr="0041486A">
        <w:rPr>
          <w:rFonts w:ascii="Bookman Old Style" w:eastAsia="Garamond" w:hAnsi="Bookman Old Style" w:cs="Garamond"/>
          <w:b/>
          <w:color w:val="000000" w:themeColor="text1"/>
          <w:sz w:val="20"/>
          <w:szCs w:val="20"/>
          <w:lang w:val="en-US"/>
        </w:rPr>
        <w:t xml:space="preserve">ISAFIR; </w:t>
      </w:r>
      <w:r w:rsidR="00395278" w:rsidRPr="0041486A">
        <w:rPr>
          <w:rFonts w:ascii="Bookman Old Style" w:eastAsia="Garamond" w:hAnsi="Bookman Old Style" w:cs="Garamond"/>
          <w:b/>
          <w:color w:val="000000" w:themeColor="text1"/>
          <w:sz w:val="20"/>
          <w:szCs w:val="20"/>
          <w:lang w:val="en-US"/>
        </w:rPr>
        <w:t>Islamic Accounting and Finance Review</w:t>
      </w:r>
    </w:p>
    <w:p w14:paraId="36098394" w14:textId="5BD34A6E" w:rsidR="00B23860" w:rsidRPr="0041486A" w:rsidRDefault="00B23860" w:rsidP="00395278">
      <w:pPr>
        <w:spacing w:after="0" w:line="240" w:lineRule="auto"/>
        <w:jc w:val="center"/>
        <w:rPr>
          <w:rFonts w:ascii="Bookman Old Style" w:eastAsia="Garamond" w:hAnsi="Bookman Old Style" w:cs="Garamond"/>
          <w:b/>
          <w:color w:val="000000" w:themeColor="text1"/>
          <w:sz w:val="20"/>
          <w:szCs w:val="20"/>
          <w:lang w:val="en-US"/>
        </w:rPr>
      </w:pPr>
      <w:r w:rsidRPr="0041486A">
        <w:rPr>
          <w:rFonts w:ascii="Bookman Old Style" w:eastAsia="Garamond" w:hAnsi="Bookman Old Style" w:cs="Garamond"/>
          <w:b/>
          <w:color w:val="000000" w:themeColor="text1"/>
          <w:sz w:val="20"/>
          <w:szCs w:val="20"/>
        </w:rPr>
        <w:t xml:space="preserve">Jurusan </w:t>
      </w:r>
      <w:r w:rsidR="00395278" w:rsidRPr="0041486A">
        <w:rPr>
          <w:rFonts w:ascii="Bookman Old Style" w:eastAsia="Garamond" w:hAnsi="Bookman Old Style" w:cs="Garamond"/>
          <w:b/>
          <w:color w:val="000000" w:themeColor="text1"/>
          <w:sz w:val="20"/>
          <w:szCs w:val="20"/>
          <w:lang w:val="en-US"/>
        </w:rPr>
        <w:t xml:space="preserve">Akuntansi, </w:t>
      </w:r>
      <w:r w:rsidRPr="0041486A">
        <w:rPr>
          <w:rFonts w:ascii="Bookman Old Style" w:eastAsia="Garamond" w:hAnsi="Bookman Old Style" w:cs="Garamond"/>
          <w:b/>
          <w:color w:val="000000" w:themeColor="text1"/>
          <w:sz w:val="20"/>
          <w:szCs w:val="20"/>
        </w:rPr>
        <w:t>Fakultas Ekonomi dan Bisnis Islam</w:t>
      </w:r>
      <w:r w:rsidR="00395278" w:rsidRPr="0041486A">
        <w:rPr>
          <w:rFonts w:ascii="Bookman Old Style" w:eastAsia="Garamond" w:hAnsi="Bookman Old Style" w:cs="Garamond"/>
          <w:b/>
          <w:color w:val="000000" w:themeColor="text1"/>
          <w:sz w:val="20"/>
          <w:szCs w:val="20"/>
          <w:lang w:val="en-US"/>
        </w:rPr>
        <w:t>,</w:t>
      </w:r>
      <w:r w:rsidRPr="0041486A">
        <w:rPr>
          <w:rFonts w:ascii="Bookman Old Style" w:eastAsia="Garamond" w:hAnsi="Bookman Old Style" w:cs="Garamond"/>
          <w:b/>
          <w:color w:val="000000" w:themeColor="text1"/>
          <w:sz w:val="20"/>
          <w:szCs w:val="20"/>
        </w:rPr>
        <w:t xml:space="preserve"> UIN Alauddin</w:t>
      </w:r>
      <w:r w:rsidR="00395278" w:rsidRPr="0041486A">
        <w:rPr>
          <w:rFonts w:ascii="Bookman Old Style" w:eastAsia="Garamond" w:hAnsi="Bookman Old Style" w:cs="Garamond"/>
          <w:b/>
          <w:color w:val="000000" w:themeColor="text1"/>
          <w:sz w:val="20"/>
          <w:szCs w:val="20"/>
          <w:lang w:val="en-US"/>
        </w:rPr>
        <w:t xml:space="preserve"> Makassar</w:t>
      </w:r>
    </w:p>
    <w:p w14:paraId="662F3DDA" w14:textId="06BF1235" w:rsidR="00B23860" w:rsidRPr="0041486A" w:rsidRDefault="00B23860" w:rsidP="00395278">
      <w:pPr>
        <w:tabs>
          <w:tab w:val="left" w:pos="2430"/>
          <w:tab w:val="left" w:pos="2790"/>
        </w:tabs>
        <w:spacing w:after="0" w:line="240" w:lineRule="auto"/>
        <w:jc w:val="center"/>
        <w:rPr>
          <w:rFonts w:ascii="Bookman Old Style" w:eastAsia="Garamond" w:hAnsi="Bookman Old Style" w:cs="Garamond"/>
          <w:color w:val="000000" w:themeColor="text1"/>
          <w:sz w:val="20"/>
          <w:szCs w:val="20"/>
        </w:rPr>
      </w:pPr>
      <w:r w:rsidRPr="0041486A">
        <w:rPr>
          <w:rFonts w:ascii="Bookman Old Style" w:eastAsia="Garamond" w:hAnsi="Bookman Old Style" w:cs="Garamond"/>
          <w:color w:val="000000" w:themeColor="text1"/>
          <w:sz w:val="20"/>
          <w:szCs w:val="20"/>
        </w:rPr>
        <w:t>Kampus II Jl. HM Yasin Limpo No. 36 Samata Sungguminasa-Gowa Telp. (0411) 424835. Hp. 0</w:t>
      </w:r>
      <w:r w:rsidR="00395278" w:rsidRPr="0041486A">
        <w:rPr>
          <w:rFonts w:ascii="Bookman Old Style" w:eastAsia="Garamond" w:hAnsi="Bookman Old Style" w:cs="Garamond"/>
          <w:color w:val="000000" w:themeColor="text1"/>
          <w:sz w:val="20"/>
          <w:szCs w:val="20"/>
          <w:lang w:val="en-US"/>
        </w:rPr>
        <w:t xml:space="preserve">85399144551 </w:t>
      </w:r>
      <w:r w:rsidR="008242CB" w:rsidRPr="0041486A">
        <w:rPr>
          <w:rFonts w:ascii="Bookman Old Style" w:eastAsia="Garamond" w:hAnsi="Bookman Old Style" w:cs="Garamond"/>
          <w:color w:val="000000" w:themeColor="text1"/>
          <w:sz w:val="20"/>
          <w:szCs w:val="20"/>
          <w:lang w:val="en-US"/>
        </w:rPr>
        <w:t>e</w:t>
      </w:r>
      <w:r w:rsidRPr="0041486A">
        <w:rPr>
          <w:rFonts w:ascii="Bookman Old Style" w:eastAsia="Garamond" w:hAnsi="Bookman Old Style" w:cs="Garamond"/>
          <w:color w:val="000000" w:themeColor="text1"/>
          <w:sz w:val="20"/>
          <w:szCs w:val="20"/>
        </w:rPr>
        <w:t xml:space="preserve">mail: </w:t>
      </w:r>
      <w:hyperlink r:id="rId11" w:history="1">
        <w:r w:rsidR="00395278" w:rsidRPr="0041486A">
          <w:rPr>
            <w:rStyle w:val="Hyperlink"/>
            <w:rFonts w:ascii="Bookman Old Style" w:eastAsia="Garamond" w:hAnsi="Bookman Old Style" w:cs="Garamond"/>
            <w:color w:val="000000" w:themeColor="text1"/>
            <w:sz w:val="20"/>
            <w:szCs w:val="20"/>
            <w:lang w:val="en-US"/>
          </w:rPr>
          <w:t>isafir</w:t>
        </w:r>
        <w:r w:rsidR="00395278" w:rsidRPr="0041486A">
          <w:rPr>
            <w:rStyle w:val="Hyperlink"/>
            <w:rFonts w:ascii="Bookman Old Style" w:eastAsia="Garamond" w:hAnsi="Bookman Old Style" w:cs="Garamond"/>
            <w:color w:val="000000" w:themeColor="text1"/>
            <w:sz w:val="20"/>
            <w:szCs w:val="20"/>
          </w:rPr>
          <w:t>@uin-alauddin.ac.id</w:t>
        </w:r>
      </w:hyperlink>
    </w:p>
    <w:p w14:paraId="6A288495" w14:textId="38AD5819" w:rsidR="00FB4F63" w:rsidRPr="0041486A" w:rsidRDefault="00FB4F63" w:rsidP="005A64E2">
      <w:pPr>
        <w:pBdr>
          <w:top w:val="nil"/>
          <w:left w:val="nil"/>
          <w:bottom w:val="nil"/>
          <w:right w:val="nil"/>
          <w:between w:val="nil"/>
        </w:pBdr>
        <w:spacing w:after="0" w:line="240" w:lineRule="auto"/>
        <w:rPr>
          <w:rFonts w:ascii="Bookman Old Style" w:hAnsi="Bookman Old Style"/>
          <w:color w:val="000000" w:themeColor="text1"/>
          <w:sz w:val="20"/>
          <w:szCs w:val="20"/>
          <w:lang w:val="en-US"/>
        </w:rPr>
      </w:pPr>
    </w:p>
    <w:sectPr w:rsidR="00FB4F63" w:rsidRPr="0041486A" w:rsidSect="003307DB">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9D369" w14:textId="77777777" w:rsidR="009131A7" w:rsidRDefault="009131A7" w:rsidP="00C6009C">
      <w:pPr>
        <w:spacing w:after="0" w:line="240" w:lineRule="auto"/>
      </w:pPr>
      <w:r>
        <w:separator/>
      </w:r>
    </w:p>
  </w:endnote>
  <w:endnote w:type="continuationSeparator" w:id="0">
    <w:p w14:paraId="0F07859F" w14:textId="77777777" w:rsidR="009131A7" w:rsidRDefault="009131A7" w:rsidP="00C6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8C06" w14:textId="3940AD85" w:rsidR="00E5131F" w:rsidRDefault="00E5131F"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64773058"/>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67F2D">
          <w:rPr>
            <w:rFonts w:ascii="Bookman Old Style" w:hAnsi="Bookman Old Style"/>
            <w:sz w:val="20"/>
            <w:szCs w:val="20"/>
          </w:rPr>
          <w:t>12</w:t>
        </w:r>
        <w:r w:rsidRPr="00B33BC8">
          <w:rPr>
            <w:rFonts w:ascii="Bookman Old Style" w:hAnsi="Bookman Old Style"/>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D9CC" w14:textId="455FF1A0" w:rsidR="00E5131F" w:rsidRPr="00E15747" w:rsidRDefault="00E5131F" w:rsidP="00E15747">
    <w:pPr>
      <w:pStyle w:val="Footer"/>
      <w:tabs>
        <w:tab w:val="center" w:pos="4393"/>
        <w:tab w:val="right" w:pos="8787"/>
      </w:tabs>
      <w:rPr>
        <w:rFonts w:ascii="Bookman Old Style" w:hAnsi="Bookman Old Style"/>
        <w:sz w:val="20"/>
        <w:szCs w:val="20"/>
      </w:rPr>
    </w:pPr>
    <w:r>
      <w:rPr>
        <w:rFonts w:ascii="Bookman Old Style" w:hAnsi="Bookman Old Style"/>
        <w:noProof w:val="0"/>
        <w:sz w:val="20"/>
        <w:szCs w:val="20"/>
        <w:lang w:val="en-US"/>
      </w:rPr>
      <w:tab/>
    </w:r>
    <w:r>
      <w:rPr>
        <w:rFonts w:ascii="Bookman Old Style" w:hAnsi="Bookman Old Style"/>
        <w:noProof w:val="0"/>
        <w:sz w:val="20"/>
        <w:szCs w:val="20"/>
        <w:lang w:val="en-US"/>
      </w:rPr>
      <w:tab/>
    </w: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28503920"/>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67F2D">
          <w:rPr>
            <w:rFonts w:ascii="Bookman Old Style" w:hAnsi="Bookman Old Style"/>
            <w:sz w:val="20"/>
            <w:szCs w:val="20"/>
          </w:rPr>
          <w:t>13</w:t>
        </w:r>
        <w:r w:rsidRPr="00B33BC8">
          <w:rPr>
            <w:rFonts w:ascii="Bookman Old Style" w:hAnsi="Bookman Old Style"/>
            <w:sz w:val="20"/>
            <w:szCs w:val="20"/>
          </w:rPr>
          <w:fldChar w:fldCharType="end"/>
        </w:r>
      </w:sdtContent>
    </w:sdt>
  </w:p>
  <w:p w14:paraId="0F73F51D" w14:textId="6E90DF7C" w:rsidR="00E5131F" w:rsidRPr="006E5860" w:rsidRDefault="00E5131F" w:rsidP="006E586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764A" w14:textId="0730A2D1" w:rsidR="00E5131F" w:rsidRDefault="00E5131F"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1506673173"/>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267F2D">
          <w:rPr>
            <w:rFonts w:ascii="Bookman Old Style" w:hAnsi="Bookman Old Style"/>
            <w:sz w:val="20"/>
            <w:szCs w:val="20"/>
          </w:rPr>
          <w:t>1</w:t>
        </w:r>
        <w:r w:rsidRPr="00B33BC8">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0F7B0" w14:textId="77777777" w:rsidR="009131A7" w:rsidRDefault="009131A7" w:rsidP="00C6009C">
      <w:pPr>
        <w:spacing w:after="0" w:line="240" w:lineRule="auto"/>
      </w:pPr>
      <w:r>
        <w:separator/>
      </w:r>
    </w:p>
  </w:footnote>
  <w:footnote w:type="continuationSeparator" w:id="0">
    <w:p w14:paraId="4A0D8A2E" w14:textId="77777777" w:rsidR="009131A7" w:rsidRDefault="009131A7" w:rsidP="00C6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69BB" w14:textId="52ACFE27" w:rsidR="00E5131F" w:rsidRPr="00336E9E" w:rsidRDefault="00E5131F">
    <w:pPr>
      <w:pStyle w:val="Header"/>
      <w:rPr>
        <w:rFonts w:ascii="Bookman Old Style" w:hAnsi="Bookman Old Style"/>
        <w:sz w:val="20"/>
        <w:szCs w:val="20"/>
        <w:lang w:val="en-US"/>
      </w:rPr>
    </w:pPr>
    <w:bookmarkStart w:id="2" w:name="_Hlk45995821"/>
    <w:r>
      <w:rPr>
        <w:rFonts w:ascii="Bookman Old Style" w:eastAsia="Garamond" w:hAnsi="Bookman Old Style" w:cs="Garamond"/>
        <w:b/>
        <w:sz w:val="20"/>
        <w:szCs w:val="20"/>
        <w:lang w:val="en-US"/>
      </w:rPr>
      <w:t>Marsawal</w:t>
    </w:r>
    <w:r w:rsidRPr="00C70836">
      <w:rPr>
        <w:rFonts w:ascii="Bookman Old Style" w:eastAsia="Garamond" w:hAnsi="Bookman Old Style" w:cs="Garamond"/>
        <w:b/>
        <w:sz w:val="20"/>
        <w:szCs w:val="20"/>
        <w:vertAlign w:val="superscript"/>
      </w:rPr>
      <w:t>1</w:t>
    </w:r>
    <w:r w:rsidRPr="00C70836">
      <w:rPr>
        <w:rFonts w:ascii="Bookman Old Style" w:eastAsia="Garamond" w:hAnsi="Bookman Old Style" w:cs="Garamond"/>
        <w:i/>
        <w:sz w:val="20"/>
        <w:szCs w:val="20"/>
      </w:rPr>
      <w:t>,</w:t>
    </w:r>
    <w:r w:rsidRPr="00336E9E">
      <w:rPr>
        <w:rFonts w:ascii="Bookman Old Style" w:eastAsia="Garamond" w:hAnsi="Bookman Old Style" w:cs="Garamond"/>
        <w:b/>
        <w:sz w:val="20"/>
        <w:szCs w:val="20"/>
        <w:lang w:val="en-US"/>
      </w:rPr>
      <w:t>Kara</w:t>
    </w:r>
    <w:r w:rsidRPr="00336E9E">
      <w:rPr>
        <w:rFonts w:ascii="Bookman Old Style" w:eastAsia="Garamond" w:hAnsi="Bookman Old Style" w:cs="Garamond"/>
        <w:b/>
        <w:sz w:val="20"/>
        <w:szCs w:val="20"/>
        <w:vertAlign w:val="superscript"/>
      </w:rPr>
      <w:t>2</w:t>
    </w:r>
    <w:r>
      <w:rPr>
        <w:rFonts w:ascii="Bookman Old Style" w:eastAsia="Garamond" w:hAnsi="Bookman Old Style" w:cs="Garamond"/>
        <w:b/>
        <w:sz w:val="20"/>
        <w:szCs w:val="20"/>
        <w:vertAlign w:val="superscript"/>
        <w:lang w:val="en-US"/>
      </w:rPr>
      <w:t xml:space="preserve">, </w:t>
    </w:r>
    <w:r>
      <w:rPr>
        <w:rFonts w:ascii="Bookman Old Style" w:eastAsia="Garamond" w:hAnsi="Bookman Old Style" w:cs="Garamond"/>
        <w:b/>
        <w:sz w:val="20"/>
        <w:szCs w:val="20"/>
        <w:lang w:val="en-US"/>
      </w:rPr>
      <w:t>Bulutoding</w:t>
    </w:r>
    <w:r>
      <w:rPr>
        <w:rFonts w:ascii="Bookman Old Style" w:eastAsia="Garamond" w:hAnsi="Bookman Old Style" w:cs="Garamond"/>
        <w:b/>
        <w:sz w:val="20"/>
        <w:szCs w:val="20"/>
        <w:vertAlign w:val="superscript"/>
        <w:lang w:val="en-US"/>
      </w:rPr>
      <w:t>3</w:t>
    </w:r>
    <w:r w:rsidRPr="00C70836">
      <w:rPr>
        <w:rFonts w:ascii="Bookman Old Style" w:eastAsia="Garamond" w:hAnsi="Bookman Old Style" w:cs="Garamond"/>
        <w:b/>
        <w:sz w:val="20"/>
        <w:szCs w:val="20"/>
      </w:rPr>
      <w:t xml:space="preserve">. </w:t>
    </w:r>
    <w:bookmarkEnd w:id="2"/>
    <w:r>
      <w:rPr>
        <w:rFonts w:ascii="Bookman Old Style" w:eastAsia="Garamond" w:hAnsi="Bookman Old Style" w:cs="Garamond"/>
        <w:sz w:val="20"/>
        <w:szCs w:val="20"/>
        <w:lang w:val="en-US"/>
      </w:rPr>
      <w:t>Kajian PSAK 112 tentang Akuntansi…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ECF2C" w14:textId="14DBD733" w:rsidR="00E5131F" w:rsidRPr="00C70836" w:rsidRDefault="00E5131F" w:rsidP="00C70836">
    <w:pPr>
      <w:pBdr>
        <w:top w:val="nil"/>
        <w:left w:val="nil"/>
        <w:bottom w:val="nil"/>
        <w:right w:val="nil"/>
        <w:between w:val="nil"/>
      </w:pBd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3" w:name="_Hlk45995777"/>
    <w:r w:rsidRPr="00C70836">
      <w:rPr>
        <w:rFonts w:ascii="Bookman Old Style" w:eastAsia="Garamond" w:hAnsi="Bookman Old Style" w:cs="Garamond"/>
        <w:b/>
        <w:color w:val="000000"/>
        <w:sz w:val="20"/>
        <w:szCs w:val="20"/>
        <w:lang w:val="en-US"/>
      </w:rPr>
      <w:t>ISAFIR</w:t>
    </w:r>
    <w:r w:rsidRPr="00C70836">
      <w:rPr>
        <w:rFonts w:ascii="Bookman Old Style" w:eastAsia="Garamond" w:hAnsi="Bookman Old Style" w:cs="Garamond"/>
        <w:color w:val="000000"/>
        <w:sz w:val="20"/>
        <w:szCs w:val="20"/>
      </w:rPr>
      <w:t xml:space="preserve">:  </w:t>
    </w:r>
    <w:r w:rsidRPr="00C70836">
      <w:rPr>
        <w:rFonts w:ascii="Bookman Old Style" w:eastAsia="Garamond" w:hAnsi="Bookman Old Style" w:cs="Garamond"/>
        <w:color w:val="000000"/>
        <w:sz w:val="20"/>
        <w:szCs w:val="20"/>
        <w:lang w:val="en-US"/>
      </w:rPr>
      <w:t>Islamic Accounting and Financ</w:t>
    </w:r>
    <w:r>
      <w:rPr>
        <w:rFonts w:ascii="Bookman Old Style" w:eastAsia="Garamond" w:hAnsi="Bookman Old Style" w:cs="Garamond"/>
        <w:color w:val="000000"/>
        <w:sz w:val="20"/>
        <w:szCs w:val="20"/>
        <w:lang w:val="en-US"/>
      </w:rPr>
      <w:t>e</w:t>
    </w:r>
    <w:r w:rsidRPr="00C70836">
      <w:rPr>
        <w:rFonts w:ascii="Bookman Old Style" w:eastAsia="Garamond" w:hAnsi="Bookman Old Style" w:cs="Garamond"/>
        <w:color w:val="000000"/>
        <w:sz w:val="20"/>
        <w:szCs w:val="20"/>
        <w:lang w:val="en-US"/>
      </w:rPr>
      <w:t xml:space="preserve"> Review</w:t>
    </w:r>
  </w:p>
  <w:p w14:paraId="251E9BFC" w14:textId="77777777" w:rsidR="00E5131F" w:rsidRPr="00C70836" w:rsidRDefault="00E5131F" w:rsidP="00C70836">
    <w:pPr>
      <w:pStyle w:val="Header"/>
      <w:tabs>
        <w:tab w:val="clear" w:pos="4513"/>
        <w:tab w:val="clear" w:pos="9026"/>
      </w:tabs>
      <w:jc w:val="right"/>
      <w:rPr>
        <w:rFonts w:ascii="Bookman Old Style" w:hAnsi="Bookman Old Style"/>
        <w:sz w:val="20"/>
        <w:szCs w:val="20"/>
      </w:rPr>
    </w:pPr>
    <w:r w:rsidRPr="00C70836">
      <w:rPr>
        <w:rFonts w:ascii="Bookman Old Style" w:eastAsia="Garamond" w:hAnsi="Bookman Old Style" w:cs="Garamond"/>
        <w:i/>
        <w:color w:val="000000"/>
        <w:sz w:val="20"/>
        <w:szCs w:val="20"/>
      </w:rPr>
      <w:t>Volume x, Nomor x Edisi, Tahun</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8ED3" w14:textId="77777777" w:rsidR="00E5131F" w:rsidRDefault="00E5131F" w:rsidP="003307DB">
    <w:pPr>
      <w:pStyle w:val="Header"/>
      <w:rPr>
        <w:rFonts w:ascii="Bookman Old Style" w:eastAsia="Garamond" w:hAnsi="Bookman Old Style" w:cs="Garamond"/>
        <w:b/>
        <w:color w:val="000000"/>
        <w:sz w:val="20"/>
        <w:szCs w:val="20"/>
        <w:lang w:val="en-US"/>
      </w:rPr>
    </w:pPr>
  </w:p>
  <w:p w14:paraId="5E8BEE71" w14:textId="1308EDBB" w:rsidR="00E5131F" w:rsidRPr="003307DB" w:rsidRDefault="00E5131F" w:rsidP="003307DB">
    <w:pPr>
      <w:pStyle w:val="Header"/>
      <w:rPr>
        <w:rFonts w:ascii="Bookman Old Style" w:hAnsi="Bookman Old Style"/>
        <w:lang w:val="en-US"/>
      </w:rPr>
    </w:pPr>
    <w:r w:rsidRPr="00C70836">
      <w:rPr>
        <w:rFonts w:ascii="Bookman Old Style" w:hAnsi="Bookman Old Style"/>
        <w:sz w:val="20"/>
        <w:szCs w:val="20"/>
        <w:lang w:val="en-US"/>
      </w:rPr>
      <mc:AlternateContent>
        <mc:Choice Requires="wps">
          <w:drawing>
            <wp:anchor distT="0" distB="0" distL="114300" distR="114300" simplePos="0" relativeHeight="251659264" behindDoc="0" locked="0" layoutInCell="1" allowOverlap="1" wp14:anchorId="6E4EEA32" wp14:editId="647B702E">
              <wp:simplePos x="0" y="0"/>
              <wp:positionH relativeFrom="column">
                <wp:posOffset>-1096964</wp:posOffset>
              </wp:positionH>
              <wp:positionV relativeFrom="paragraph">
                <wp:posOffset>215803</wp:posOffset>
              </wp:positionV>
              <wp:extent cx="7618130" cy="30270"/>
              <wp:effectExtent l="19050" t="19050" r="20955" b="27305"/>
              <wp:wrapNone/>
              <wp:docPr id="1" name="Straight Connector 1"/>
              <wp:cNvGraphicFramePr/>
              <a:graphic xmlns:a="http://schemas.openxmlformats.org/drawingml/2006/main">
                <a:graphicData uri="http://schemas.microsoft.com/office/word/2010/wordprocessingShape">
                  <wps:wsp>
                    <wps:cNvCnPr/>
                    <wps:spPr>
                      <a:xfrm>
                        <a:off x="0" y="0"/>
                        <a:ext cx="7618130" cy="3027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6AA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7pt" to="513.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" strokecolor="black [3213]" strokeweight="3.5pt">
              <v:stroke linestyle="thickThin" joinstyle="miter"/>
            </v:line>
          </w:pict>
        </mc:Fallback>
      </mc:AlternateContent>
    </w:r>
    <w:r w:rsidRPr="00C70836">
      <w:rPr>
        <w:rFonts w:ascii="Bookman Old Style" w:eastAsia="Garamond" w:hAnsi="Bookman Old Style" w:cs="Garamond"/>
        <w:b/>
        <w:color w:val="000000"/>
        <w:sz w:val="20"/>
        <w:szCs w:val="20"/>
        <w:lang w:val="en-US"/>
      </w:rPr>
      <w:t>ISAFIR</w:t>
    </w:r>
    <w:r w:rsidRPr="00395278">
      <w:rPr>
        <w:rFonts w:ascii="Bookman Old Style" w:eastAsia="Garamond" w:hAnsi="Bookman Old Style" w:cs="Garamond"/>
        <w:b/>
        <w:bCs/>
        <w:color w:val="000000"/>
        <w:sz w:val="20"/>
        <w:szCs w:val="20"/>
        <w:lang w:val="en-US"/>
      </w:rPr>
      <w:t>;</w:t>
    </w:r>
    <w:r>
      <w:rPr>
        <w:rFonts w:ascii="Bookman Old Style" w:eastAsia="Garamond" w:hAnsi="Bookman Old Style" w:cs="Garamond"/>
        <w:color w:val="000000"/>
        <w:sz w:val="20"/>
        <w:szCs w:val="20"/>
        <w:lang w:val="en-US"/>
      </w:rPr>
      <w:t xml:space="preserve"> </w:t>
    </w:r>
    <w:r w:rsidRPr="0053580A">
      <w:rPr>
        <w:rFonts w:ascii="Bookman Old Style" w:eastAsia="Garamond" w:hAnsi="Bookman Old Style" w:cs="Garamond"/>
        <w:color w:val="000000"/>
        <w:sz w:val="20"/>
        <w:szCs w:val="20"/>
        <w:lang w:val="en-US"/>
      </w:rPr>
      <w:t>Islamic Accounting and Finance Review</w:t>
    </w:r>
    <w:r w:rsidRPr="002D2B10">
      <w:rPr>
        <w:rFonts w:ascii="Bookman Old Style" w:hAnsi="Bookman Old Style"/>
        <w:lang w:val="en-US"/>
      </w:rPr>
      <w:tab/>
    </w:r>
    <w:r w:rsidRPr="00C70836">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55E"/>
    <w:multiLevelType w:val="hybridMultilevel"/>
    <w:tmpl w:val="9C0E610C"/>
    <w:lvl w:ilvl="0" w:tplc="3C82CE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62B09"/>
    <w:multiLevelType w:val="hybridMultilevel"/>
    <w:tmpl w:val="C5480E8C"/>
    <w:lvl w:ilvl="0" w:tplc="7FBA9B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3B4863"/>
    <w:multiLevelType w:val="multilevel"/>
    <w:tmpl w:val="8FF66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8E0EF8"/>
    <w:multiLevelType w:val="hybridMultilevel"/>
    <w:tmpl w:val="523AEE84"/>
    <w:lvl w:ilvl="0" w:tplc="2FF05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E03BD"/>
    <w:multiLevelType w:val="hybridMultilevel"/>
    <w:tmpl w:val="CDD4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B2725"/>
    <w:multiLevelType w:val="hybridMultilevel"/>
    <w:tmpl w:val="73C01FA8"/>
    <w:lvl w:ilvl="0" w:tplc="72F824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2C26F3"/>
    <w:multiLevelType w:val="hybridMultilevel"/>
    <w:tmpl w:val="6108D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E4080"/>
    <w:multiLevelType w:val="hybridMultilevel"/>
    <w:tmpl w:val="19D2E2D0"/>
    <w:lvl w:ilvl="0" w:tplc="BB90F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677D9E"/>
    <w:multiLevelType w:val="hybridMultilevel"/>
    <w:tmpl w:val="14A8DB54"/>
    <w:lvl w:ilvl="0" w:tplc="65E0C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C3D3B"/>
    <w:multiLevelType w:val="hybridMultilevel"/>
    <w:tmpl w:val="70FE52C4"/>
    <w:lvl w:ilvl="0" w:tplc="3BAE1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E33F70"/>
    <w:multiLevelType w:val="hybridMultilevel"/>
    <w:tmpl w:val="FE9E97F8"/>
    <w:lvl w:ilvl="0" w:tplc="BBB82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2B63D8"/>
    <w:multiLevelType w:val="hybridMultilevel"/>
    <w:tmpl w:val="CACEDBF4"/>
    <w:lvl w:ilvl="0" w:tplc="803A9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BD1CB2"/>
    <w:multiLevelType w:val="hybridMultilevel"/>
    <w:tmpl w:val="89306118"/>
    <w:lvl w:ilvl="0" w:tplc="019295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0494C"/>
    <w:multiLevelType w:val="hybridMultilevel"/>
    <w:tmpl w:val="EF1828E8"/>
    <w:lvl w:ilvl="0" w:tplc="514677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6E1950"/>
    <w:multiLevelType w:val="hybridMultilevel"/>
    <w:tmpl w:val="91CA63D6"/>
    <w:lvl w:ilvl="0" w:tplc="A7749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E0776"/>
    <w:multiLevelType w:val="hybridMultilevel"/>
    <w:tmpl w:val="E0AA8D5E"/>
    <w:lvl w:ilvl="0" w:tplc="6C92A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E367C"/>
    <w:multiLevelType w:val="hybridMultilevel"/>
    <w:tmpl w:val="27F42172"/>
    <w:lvl w:ilvl="0" w:tplc="D608B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4C66DD"/>
    <w:multiLevelType w:val="hybridMultilevel"/>
    <w:tmpl w:val="A89A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271D3F"/>
    <w:multiLevelType w:val="hybridMultilevel"/>
    <w:tmpl w:val="3834979A"/>
    <w:lvl w:ilvl="0" w:tplc="C92C18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1B45BF"/>
    <w:multiLevelType w:val="hybridMultilevel"/>
    <w:tmpl w:val="4F70FA52"/>
    <w:lvl w:ilvl="0" w:tplc="175C69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7F7136"/>
    <w:multiLevelType w:val="multilevel"/>
    <w:tmpl w:val="E9A614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2AE167D"/>
    <w:multiLevelType w:val="hybridMultilevel"/>
    <w:tmpl w:val="4A82C524"/>
    <w:lvl w:ilvl="0" w:tplc="9C7A5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FE26EF"/>
    <w:multiLevelType w:val="hybridMultilevel"/>
    <w:tmpl w:val="172A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1F074B"/>
    <w:multiLevelType w:val="hybridMultilevel"/>
    <w:tmpl w:val="F58CC7B4"/>
    <w:lvl w:ilvl="0" w:tplc="E19008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F4797B"/>
    <w:multiLevelType w:val="hybridMultilevel"/>
    <w:tmpl w:val="B5949364"/>
    <w:lvl w:ilvl="0" w:tplc="E020C3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9D4ED2"/>
    <w:multiLevelType w:val="hybridMultilevel"/>
    <w:tmpl w:val="C212BABC"/>
    <w:lvl w:ilvl="0" w:tplc="06F89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C754DE"/>
    <w:multiLevelType w:val="hybridMultilevel"/>
    <w:tmpl w:val="880CA5F4"/>
    <w:lvl w:ilvl="0" w:tplc="98988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333DE4"/>
    <w:multiLevelType w:val="hybridMultilevel"/>
    <w:tmpl w:val="23748548"/>
    <w:lvl w:ilvl="0" w:tplc="E3BEAE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CB1732"/>
    <w:multiLevelType w:val="hybridMultilevel"/>
    <w:tmpl w:val="31E485E8"/>
    <w:lvl w:ilvl="0" w:tplc="DA0A3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564544"/>
    <w:multiLevelType w:val="hybridMultilevel"/>
    <w:tmpl w:val="19620506"/>
    <w:lvl w:ilvl="0" w:tplc="4126B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597C81"/>
    <w:multiLevelType w:val="hybridMultilevel"/>
    <w:tmpl w:val="CEAC3404"/>
    <w:lvl w:ilvl="0" w:tplc="FA36807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140A56"/>
    <w:multiLevelType w:val="multilevel"/>
    <w:tmpl w:val="51A4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11324C"/>
    <w:multiLevelType w:val="hybridMultilevel"/>
    <w:tmpl w:val="C8ACF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0C5E9D"/>
    <w:multiLevelType w:val="hybridMultilevel"/>
    <w:tmpl w:val="C15C8102"/>
    <w:lvl w:ilvl="0" w:tplc="1338A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7C69CE"/>
    <w:multiLevelType w:val="multilevel"/>
    <w:tmpl w:val="A92C6CB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C93DE5"/>
    <w:multiLevelType w:val="hybridMultilevel"/>
    <w:tmpl w:val="92766248"/>
    <w:lvl w:ilvl="0" w:tplc="E8A6E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1"/>
  </w:num>
  <w:num w:numId="3">
    <w:abstractNumId w:val="2"/>
  </w:num>
  <w:num w:numId="4">
    <w:abstractNumId w:val="20"/>
  </w:num>
  <w:num w:numId="5">
    <w:abstractNumId w:val="30"/>
  </w:num>
  <w:num w:numId="6">
    <w:abstractNumId w:val="21"/>
  </w:num>
  <w:num w:numId="7">
    <w:abstractNumId w:val="33"/>
  </w:num>
  <w:num w:numId="8">
    <w:abstractNumId w:val="26"/>
  </w:num>
  <w:num w:numId="9">
    <w:abstractNumId w:val="0"/>
  </w:num>
  <w:num w:numId="10">
    <w:abstractNumId w:val="6"/>
  </w:num>
  <w:num w:numId="11">
    <w:abstractNumId w:val="14"/>
  </w:num>
  <w:num w:numId="12">
    <w:abstractNumId w:val="28"/>
  </w:num>
  <w:num w:numId="13">
    <w:abstractNumId w:val="15"/>
  </w:num>
  <w:num w:numId="14">
    <w:abstractNumId w:val="29"/>
  </w:num>
  <w:num w:numId="15">
    <w:abstractNumId w:val="9"/>
  </w:num>
  <w:num w:numId="16">
    <w:abstractNumId w:val="25"/>
  </w:num>
  <w:num w:numId="17">
    <w:abstractNumId w:val="24"/>
  </w:num>
  <w:num w:numId="18">
    <w:abstractNumId w:val="11"/>
  </w:num>
  <w:num w:numId="19">
    <w:abstractNumId w:val="3"/>
  </w:num>
  <w:num w:numId="20">
    <w:abstractNumId w:val="35"/>
  </w:num>
  <w:num w:numId="21">
    <w:abstractNumId w:val="27"/>
  </w:num>
  <w:num w:numId="22">
    <w:abstractNumId w:val="5"/>
  </w:num>
  <w:num w:numId="23">
    <w:abstractNumId w:val="13"/>
  </w:num>
  <w:num w:numId="24">
    <w:abstractNumId w:val="23"/>
  </w:num>
  <w:num w:numId="25">
    <w:abstractNumId w:val="7"/>
  </w:num>
  <w:num w:numId="26">
    <w:abstractNumId w:val="19"/>
  </w:num>
  <w:num w:numId="27">
    <w:abstractNumId w:val="18"/>
  </w:num>
  <w:num w:numId="28">
    <w:abstractNumId w:val="1"/>
  </w:num>
  <w:num w:numId="29">
    <w:abstractNumId w:val="10"/>
  </w:num>
  <w:num w:numId="30">
    <w:abstractNumId w:val="4"/>
  </w:num>
  <w:num w:numId="31">
    <w:abstractNumId w:val="34"/>
  </w:num>
  <w:num w:numId="32">
    <w:abstractNumId w:val="12"/>
  </w:num>
  <w:num w:numId="33">
    <w:abstractNumId w:val="8"/>
  </w:num>
  <w:num w:numId="34">
    <w:abstractNumId w:val="16"/>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isplayBackgroundShape/>
  <w:proofState w:spelling="clean" w:grammar="clean"/>
  <w:defaultTabStop w:val="720"/>
  <w:evenAndOddHeaders/>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9C"/>
    <w:rsid w:val="000153D6"/>
    <w:rsid w:val="000240AE"/>
    <w:rsid w:val="000A7C53"/>
    <w:rsid w:val="001126F5"/>
    <w:rsid w:val="00124B7F"/>
    <w:rsid w:val="001462D3"/>
    <w:rsid w:val="00150CDC"/>
    <w:rsid w:val="00175D42"/>
    <w:rsid w:val="00180705"/>
    <w:rsid w:val="001907E8"/>
    <w:rsid w:val="001A5C6C"/>
    <w:rsid w:val="001D4B8B"/>
    <w:rsid w:val="00223D2C"/>
    <w:rsid w:val="002508EA"/>
    <w:rsid w:val="00260D4A"/>
    <w:rsid w:val="00267F2D"/>
    <w:rsid w:val="002775C6"/>
    <w:rsid w:val="002958E5"/>
    <w:rsid w:val="002A4E0B"/>
    <w:rsid w:val="002D1E31"/>
    <w:rsid w:val="002D2B10"/>
    <w:rsid w:val="002E48F5"/>
    <w:rsid w:val="002E6001"/>
    <w:rsid w:val="002E75B0"/>
    <w:rsid w:val="00314EA4"/>
    <w:rsid w:val="003307DB"/>
    <w:rsid w:val="00336E9E"/>
    <w:rsid w:val="00337DB5"/>
    <w:rsid w:val="00355F15"/>
    <w:rsid w:val="00382199"/>
    <w:rsid w:val="00395278"/>
    <w:rsid w:val="003C68C4"/>
    <w:rsid w:val="0041486A"/>
    <w:rsid w:val="00415554"/>
    <w:rsid w:val="00424032"/>
    <w:rsid w:val="00452E23"/>
    <w:rsid w:val="004563AF"/>
    <w:rsid w:val="00473D12"/>
    <w:rsid w:val="004E6A7C"/>
    <w:rsid w:val="004F3FC0"/>
    <w:rsid w:val="005002F5"/>
    <w:rsid w:val="00520FF1"/>
    <w:rsid w:val="005265AB"/>
    <w:rsid w:val="005301F0"/>
    <w:rsid w:val="0053580A"/>
    <w:rsid w:val="0055189F"/>
    <w:rsid w:val="005A64E2"/>
    <w:rsid w:val="00622294"/>
    <w:rsid w:val="006861A4"/>
    <w:rsid w:val="006D29AC"/>
    <w:rsid w:val="006D320C"/>
    <w:rsid w:val="006E5860"/>
    <w:rsid w:val="006F14CA"/>
    <w:rsid w:val="00705362"/>
    <w:rsid w:val="00711BFE"/>
    <w:rsid w:val="00717D28"/>
    <w:rsid w:val="007705D5"/>
    <w:rsid w:val="007B150E"/>
    <w:rsid w:val="007F1BEB"/>
    <w:rsid w:val="008242CB"/>
    <w:rsid w:val="00830A1B"/>
    <w:rsid w:val="008B4C56"/>
    <w:rsid w:val="008C1CAB"/>
    <w:rsid w:val="008F23BB"/>
    <w:rsid w:val="00903259"/>
    <w:rsid w:val="009131A7"/>
    <w:rsid w:val="009177ED"/>
    <w:rsid w:val="00942238"/>
    <w:rsid w:val="0096542C"/>
    <w:rsid w:val="00965B30"/>
    <w:rsid w:val="009B1138"/>
    <w:rsid w:val="009C5F73"/>
    <w:rsid w:val="009E0D3A"/>
    <w:rsid w:val="00A5597C"/>
    <w:rsid w:val="00A8483D"/>
    <w:rsid w:val="00A87F92"/>
    <w:rsid w:val="00A9181B"/>
    <w:rsid w:val="00AD5DAD"/>
    <w:rsid w:val="00B20F73"/>
    <w:rsid w:val="00B23860"/>
    <w:rsid w:val="00B3000F"/>
    <w:rsid w:val="00B31713"/>
    <w:rsid w:val="00B33BC8"/>
    <w:rsid w:val="00B4091B"/>
    <w:rsid w:val="00B644C8"/>
    <w:rsid w:val="00B7560B"/>
    <w:rsid w:val="00B82ED8"/>
    <w:rsid w:val="00B84033"/>
    <w:rsid w:val="00BA5624"/>
    <w:rsid w:val="00BB2306"/>
    <w:rsid w:val="00C065A0"/>
    <w:rsid w:val="00C07F10"/>
    <w:rsid w:val="00C12901"/>
    <w:rsid w:val="00C13F3C"/>
    <w:rsid w:val="00C376A2"/>
    <w:rsid w:val="00C6009C"/>
    <w:rsid w:val="00C70836"/>
    <w:rsid w:val="00C77BAA"/>
    <w:rsid w:val="00CB1256"/>
    <w:rsid w:val="00CF2EC4"/>
    <w:rsid w:val="00D06EAC"/>
    <w:rsid w:val="00D50321"/>
    <w:rsid w:val="00D56E31"/>
    <w:rsid w:val="00D71740"/>
    <w:rsid w:val="00DA5B2C"/>
    <w:rsid w:val="00DF229C"/>
    <w:rsid w:val="00E15747"/>
    <w:rsid w:val="00E20379"/>
    <w:rsid w:val="00E5131F"/>
    <w:rsid w:val="00E62466"/>
    <w:rsid w:val="00E63271"/>
    <w:rsid w:val="00E753FA"/>
    <w:rsid w:val="00E76D68"/>
    <w:rsid w:val="00E82476"/>
    <w:rsid w:val="00F2174E"/>
    <w:rsid w:val="00F66A6E"/>
    <w:rsid w:val="00F956D4"/>
    <w:rsid w:val="00FB183B"/>
    <w:rsid w:val="00FB4F63"/>
    <w:rsid w:val="00FC6286"/>
    <w:rsid w:val="00FD63F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224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30"/>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59"/>
    <w:rsid w:val="00FB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aliases w:val="awal,List Paragraph2,Heading 11,List Paragraph1"/>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paragraph" w:styleId="BalloonText">
    <w:name w:val="Balloon Text"/>
    <w:basedOn w:val="Normal"/>
    <w:link w:val="BalloonTextChar"/>
    <w:uiPriority w:val="99"/>
    <w:semiHidden/>
    <w:unhideWhenUsed/>
    <w:rsid w:val="0031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A4"/>
    <w:rPr>
      <w:rFonts w:ascii="Tahoma" w:hAnsi="Tahoma" w:cs="Tahoma"/>
      <w:noProof/>
      <w:sz w:val="16"/>
      <w:szCs w:val="16"/>
    </w:rPr>
  </w:style>
  <w:style w:type="paragraph" w:styleId="HTMLPreformatted">
    <w:name w:val="HTML Preformatted"/>
    <w:basedOn w:val="Normal"/>
    <w:link w:val="HTMLPreformattedChar"/>
    <w:uiPriority w:val="99"/>
    <w:semiHidden/>
    <w:unhideWhenUsed/>
    <w:rsid w:val="00500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5002F5"/>
    <w:rPr>
      <w:rFonts w:ascii="Courier New" w:eastAsia="Times New Roman" w:hAnsi="Courier New" w:cs="Courier New"/>
      <w:sz w:val="20"/>
      <w:szCs w:val="20"/>
      <w:lang w:val="en-US"/>
    </w:rPr>
  </w:style>
  <w:style w:type="character" w:customStyle="1" w:styleId="ListParagraphChar">
    <w:name w:val="List Paragraph Char"/>
    <w:aliases w:val="awal Char,List Paragraph2 Char,Heading 11 Char,List Paragraph1 Char"/>
    <w:link w:val="ListParagraph"/>
    <w:uiPriority w:val="34"/>
    <w:locked/>
    <w:rsid w:val="00D50321"/>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30"/>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59"/>
    <w:rsid w:val="00FB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aliases w:val="awal,List Paragraph2,Heading 11,List Paragraph1"/>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paragraph" w:styleId="BalloonText">
    <w:name w:val="Balloon Text"/>
    <w:basedOn w:val="Normal"/>
    <w:link w:val="BalloonTextChar"/>
    <w:uiPriority w:val="99"/>
    <w:semiHidden/>
    <w:unhideWhenUsed/>
    <w:rsid w:val="0031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A4"/>
    <w:rPr>
      <w:rFonts w:ascii="Tahoma" w:hAnsi="Tahoma" w:cs="Tahoma"/>
      <w:noProof/>
      <w:sz w:val="16"/>
      <w:szCs w:val="16"/>
    </w:rPr>
  </w:style>
  <w:style w:type="paragraph" w:styleId="HTMLPreformatted">
    <w:name w:val="HTML Preformatted"/>
    <w:basedOn w:val="Normal"/>
    <w:link w:val="HTMLPreformattedChar"/>
    <w:uiPriority w:val="99"/>
    <w:semiHidden/>
    <w:unhideWhenUsed/>
    <w:rsid w:val="00500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5002F5"/>
    <w:rPr>
      <w:rFonts w:ascii="Courier New" w:eastAsia="Times New Roman" w:hAnsi="Courier New" w:cs="Courier New"/>
      <w:sz w:val="20"/>
      <w:szCs w:val="20"/>
      <w:lang w:val="en-US"/>
    </w:rPr>
  </w:style>
  <w:style w:type="character" w:customStyle="1" w:styleId="ListParagraphChar">
    <w:name w:val="List Paragraph Char"/>
    <w:aliases w:val="awal Char,List Paragraph2 Char,Heading 11 Char,List Paragraph1 Char"/>
    <w:link w:val="ListParagraph"/>
    <w:uiPriority w:val="34"/>
    <w:locked/>
    <w:rsid w:val="00D5032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3544">
      <w:bodyDiv w:val="1"/>
      <w:marLeft w:val="0"/>
      <w:marRight w:val="0"/>
      <w:marTop w:val="0"/>
      <w:marBottom w:val="0"/>
      <w:divBdr>
        <w:top w:val="none" w:sz="0" w:space="0" w:color="auto"/>
        <w:left w:val="none" w:sz="0" w:space="0" w:color="auto"/>
        <w:bottom w:val="none" w:sz="0" w:space="0" w:color="auto"/>
        <w:right w:val="none" w:sz="0" w:space="0" w:color="auto"/>
      </w:divBdr>
    </w:div>
    <w:div w:id="3139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fir@uin-alauddin.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F7138C3-BB8E-45C5-AAAD-659558D8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13</Pages>
  <Words>14226</Words>
  <Characters>81094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Aditiya</dc:creator>
  <cp:keywords/>
  <dc:description/>
  <cp:lastModifiedBy>Sony</cp:lastModifiedBy>
  <cp:revision>26</cp:revision>
  <dcterms:created xsi:type="dcterms:W3CDTF">2020-07-18T23:51:00Z</dcterms:created>
  <dcterms:modified xsi:type="dcterms:W3CDTF">2021-02-23T10:38:00Z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3fa59fc0-52cf-3b00-bfc8-e78f35e44b65</vt:lpwstr>
  </property>
  <property fmtid="{D5CDD505-2E9C-101B-9397-08002B2CF9AE}" pid="24" name="Mendeley Citation Style_1">
    <vt:lpwstr>http://www.zotero.org/styles/apa</vt:lpwstr>
  </property>
</Properties>
</file>